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t>Westlaw Delivery Summary Report for KARLIN,JANIS M</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bl>
      <w:tblPr>
        <w:tblW w:w="0" w:type="auto"/>
        <w:tblLayout w:type="fixed"/>
        <w:tblCellMar>
          <w:left w:w="0" w:type="dxa"/>
          <w:right w:w="0" w:type="dxa"/>
        </w:tblCellMar>
        <w:tblLook w:val="0000"/>
      </w:tblPr>
      <w:tblGrid>
        <w:gridCol w:w="3780"/>
        <w:gridCol w:w="5339"/>
      </w:tblGrid>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Date/Time of Request:</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Monday, July 19, 2010 12:49 Central</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Client Identifier:</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LANNING</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Database:</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SCTFIND</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Citation Text:</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S.Ct. ----</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Lines:</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1248</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Documents:</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1</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Images:</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0</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Recipient(s):</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kfaenza@fedbar.org</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jan.hamilton@topeka13trustee.com</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 judge_karlin@ksb.uscourts.gov</w:t>
            </w:r>
          </w:p>
        </w:tc>
      </w:tr>
    </w:tbl>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t>Ms. Faenza, this will be the first part of the materials, and we will let you know what other materials, if any, should be dissiminated for the bankruptcy presentation. Jan Karlin</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The materia</w:t>
      </w:r>
      <w:r>
        <w:rPr>
          <w:rFonts w:ascii="Times New Roman" w:hAnsi="Times New Roman" w:cs="Times New Roman"/>
          <w:color w:val="000000"/>
          <w:sz w:val="20"/>
          <w:szCs w:val="20"/>
        </w:rPr>
        <w:t>l accompanying this summary is subject to copyright. Usage is governed by contract with Thomson Re</w:t>
      </w:r>
      <w:r>
        <w:rPr>
          <w:rFonts w:ascii="Times New Roman" w:hAnsi="Times New Roman" w:cs="Times New Roman"/>
          <w:color w:val="000000"/>
          <w:sz w:val="20"/>
          <w:szCs w:val="20"/>
        </w:rPr>
        <w:t>u</w:t>
      </w:r>
      <w:r>
        <w:rPr>
          <w:rFonts w:ascii="Times New Roman" w:hAnsi="Times New Roman" w:cs="Times New Roman"/>
          <w:color w:val="000000"/>
          <w:sz w:val="20"/>
          <w:szCs w:val="20"/>
        </w:rPr>
        <w:t>ters, West and their affiliates.</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headerReference w:type="default" r:id="rId7"/>
          <w:footerReference w:type="default" r:id="rId8"/>
          <w:pgSz w:w="12240" w:h="15840"/>
          <w:pgMar w:top="2318" w:right="1080" w:bottom="1800" w:left="1080" w:header="720" w:footer="720" w:gutter="0"/>
          <w:cols w:space="720"/>
          <w:noEndnote/>
        </w:sect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headerReference w:type="default" r:id="rId9"/>
          <w:footerReference w:type="default" r:id="rId10"/>
          <w:pgSz w:w="12240" w:h="15840"/>
          <w:pgMar w:top="2520" w:right="1440" w:bottom="1800" w:left="1440" w:header="720" w:footer="720" w:gutter="0"/>
          <w:pgNumType w:start="1"/>
          <w:cols w:space="720"/>
          <w:noEndnote/>
        </w:sectPr>
      </w:pP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bookmarkStart w:id="0" w:name="Document0zzSDUNumber1"/>
      <w:bookmarkEnd w:id="0"/>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0"/>
          <w:szCs w:val="20"/>
        </w:rPr>
        <w:drawing>
          <wp:inline distT="0" distB="0" distL="0" distR="0">
            <wp:extent cx="128905" cy="128905"/>
            <wp:effectExtent l="1905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128905" cy="128905"/>
                    </a:xfrm>
                    <a:prstGeom prst="rect">
                      <a:avLst/>
                    </a:prstGeom>
                    <a:noFill/>
                    <a:ln w="9525">
                      <a:noFill/>
                      <a:miter lim="800000"/>
                      <a:headEnd/>
                      <a:tailEnd/>
                    </a:ln>
                  </pic:spPr>
                </pic:pic>
              </a:graphicData>
            </a:graphic>
          </wp:inline>
        </w:drawing>
      </w:r>
      <w:r>
        <w:rPr>
          <w:rFonts w:ascii="Times New Roman" w:hAnsi="Times New Roman" w:cs="Times New Roman"/>
          <w:color w:val="000000"/>
          <w:sz w:val="20"/>
          <w:szCs w:val="20"/>
        </w:rPr>
        <w:t>Only the Westlaw citation is currently available.</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Supreme Court of the United States</w:t>
      </w: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Jan HAMILTON, Chapter 13 Trustee, Petitioner,</w:t>
      </w: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v.</w:t>
      </w: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Stephanie Kay LANNING.</w:t>
      </w: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0"/>
          <w:szCs w:val="20"/>
        </w:rPr>
        <w:t>No. 08-998.</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Argued March 22, 2010.</w:t>
      </w: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Decided June 7, 2010.</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Back</w:t>
      </w:r>
      <w:r>
        <w:rPr>
          <w:rFonts w:ascii="Times New Roman" w:hAnsi="Times New Roman" w:cs="Times New Roman"/>
          <w:b/>
          <w:bCs/>
          <w:color w:val="000000"/>
          <w:sz w:val="20"/>
          <w:szCs w:val="20"/>
        </w:rPr>
        <w:t>ground:</w:t>
      </w:r>
      <w:r>
        <w:rPr>
          <w:rFonts w:ascii="Times New Roman" w:hAnsi="Times New Roman" w:cs="Times New Roman"/>
          <w:color w:val="000000"/>
          <w:sz w:val="20"/>
          <w:szCs w:val="20"/>
        </w:rPr>
        <w:t xml:space="preserve"> Chapter 13 trustee objected to confi</w:t>
      </w:r>
      <w:r>
        <w:rPr>
          <w:rFonts w:ascii="Times New Roman" w:hAnsi="Times New Roman" w:cs="Times New Roman"/>
          <w:color w:val="000000"/>
          <w:sz w:val="20"/>
          <w:szCs w:val="20"/>
        </w:rPr>
        <w:t>r</w:t>
      </w:r>
      <w:r>
        <w:rPr>
          <w:rFonts w:ascii="Times New Roman" w:hAnsi="Times New Roman" w:cs="Times New Roman"/>
          <w:color w:val="000000"/>
          <w:sz w:val="20"/>
          <w:szCs w:val="20"/>
        </w:rPr>
        <w:t>mation of plan proposed by above-median-income debtor on ground that debtor was not co</w:t>
      </w:r>
      <w:r>
        <w:rPr>
          <w:rFonts w:ascii="Times New Roman" w:hAnsi="Times New Roman" w:cs="Times New Roman"/>
          <w:color w:val="000000"/>
          <w:sz w:val="20"/>
          <w:szCs w:val="20"/>
        </w:rPr>
        <w:t>m</w:t>
      </w:r>
      <w:r>
        <w:rPr>
          <w:rFonts w:ascii="Times New Roman" w:hAnsi="Times New Roman" w:cs="Times New Roman"/>
          <w:color w:val="000000"/>
          <w:sz w:val="20"/>
          <w:szCs w:val="20"/>
        </w:rPr>
        <w:t xml:space="preserve">mitting all of her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to the repayment of creditors. The United States Bankruptcy Court for the D</w:t>
      </w:r>
      <w:r>
        <w:rPr>
          <w:rFonts w:ascii="Times New Roman" w:hAnsi="Times New Roman" w:cs="Times New Roman"/>
          <w:color w:val="000000"/>
          <w:sz w:val="20"/>
          <w:szCs w:val="20"/>
        </w:rPr>
        <w:t xml:space="preserve">istrict of Kansas, Janice Miller Karlin, J., </w:t>
      </w:r>
      <w:hyperlink r:id="rId12" w:history="1">
        <w:r>
          <w:rPr>
            <w:rFonts w:ascii="Times New Roman" w:hAnsi="Times New Roman" w:cs="Times New Roman"/>
            <w:color w:val="0000FF"/>
            <w:sz w:val="20"/>
            <w:szCs w:val="20"/>
            <w:u w:val="single"/>
          </w:rPr>
          <w:t>2007 WL 1451999,</w:t>
        </w:r>
      </w:hyperlink>
      <w:r>
        <w:rPr>
          <w:rFonts w:ascii="Times New Roman" w:hAnsi="Times New Roman" w:cs="Times New Roman"/>
          <w:color w:val="000000"/>
          <w:sz w:val="20"/>
          <w:szCs w:val="20"/>
        </w:rPr>
        <w:t xml:space="preserve"> denied obje</w:t>
      </w:r>
      <w:r>
        <w:rPr>
          <w:rFonts w:ascii="Times New Roman" w:hAnsi="Times New Roman" w:cs="Times New Roman"/>
          <w:color w:val="000000"/>
          <w:sz w:val="20"/>
          <w:szCs w:val="20"/>
        </w:rPr>
        <w:t>c</w:t>
      </w:r>
      <w:r>
        <w:rPr>
          <w:rFonts w:ascii="Times New Roman" w:hAnsi="Times New Roman" w:cs="Times New Roman"/>
          <w:color w:val="000000"/>
          <w:sz w:val="20"/>
          <w:szCs w:val="20"/>
        </w:rPr>
        <w:t xml:space="preserve">tion, and trustee appealed. The Bankruptcy Appellate Panel (BAP), </w:t>
      </w:r>
      <w:hyperlink r:id="rId13" w:history="1">
        <w:r>
          <w:rPr>
            <w:rFonts w:ascii="Times New Roman" w:hAnsi="Times New Roman" w:cs="Times New Roman"/>
            <w:color w:val="0000FF"/>
            <w:sz w:val="20"/>
            <w:szCs w:val="20"/>
            <w:u w:val="single"/>
          </w:rPr>
          <w:t>Richard L. B</w:t>
        </w:r>
        <w:r>
          <w:rPr>
            <w:rFonts w:ascii="Times New Roman" w:hAnsi="Times New Roman" w:cs="Times New Roman"/>
            <w:color w:val="0000FF"/>
            <w:sz w:val="20"/>
            <w:szCs w:val="20"/>
            <w:u w:val="single"/>
          </w:rPr>
          <w:t>o</w:t>
        </w:r>
        <w:r>
          <w:rPr>
            <w:rFonts w:ascii="Times New Roman" w:hAnsi="Times New Roman" w:cs="Times New Roman"/>
            <w:color w:val="0000FF"/>
            <w:sz w:val="20"/>
            <w:szCs w:val="20"/>
            <w:u w:val="single"/>
          </w:rPr>
          <w:t>hanon</w:t>
        </w:r>
      </w:hyperlink>
      <w:r>
        <w:rPr>
          <w:rFonts w:ascii="Times New Roman" w:hAnsi="Times New Roman" w:cs="Times New Roman"/>
          <w:color w:val="000000"/>
          <w:sz w:val="20"/>
          <w:szCs w:val="20"/>
        </w:rPr>
        <w:t xml:space="preserve">, J., </w:t>
      </w:r>
      <w:hyperlink r:id="rId14" w:history="1">
        <w:r>
          <w:rPr>
            <w:rFonts w:ascii="Times New Roman" w:hAnsi="Times New Roman" w:cs="Times New Roman"/>
            <w:color w:val="0000FF"/>
            <w:sz w:val="20"/>
            <w:szCs w:val="20"/>
            <w:u w:val="single"/>
          </w:rPr>
          <w:t>380 B.R. 1</w:t>
        </w:r>
        <w:r>
          <w:rPr>
            <w:rFonts w:ascii="Times New Roman" w:hAnsi="Times New Roman" w:cs="Times New Roman"/>
            <w:color w:val="0000FF"/>
            <w:sz w:val="20"/>
            <w:szCs w:val="20"/>
            <w:u w:val="single"/>
          </w:rPr>
          <w:t>7,</w:t>
        </w:r>
      </w:hyperlink>
      <w:r>
        <w:rPr>
          <w:rFonts w:ascii="Times New Roman" w:hAnsi="Times New Roman" w:cs="Times New Roman"/>
          <w:color w:val="000000"/>
          <w:sz w:val="20"/>
          <w:szCs w:val="20"/>
        </w:rPr>
        <w:t xml:space="preserve"> affirmed. Trustee appealed. The Court of Appeals for the Tenth Circuit, </w:t>
      </w:r>
      <w:hyperlink r:id="rId15" w:history="1">
        <w:r>
          <w:rPr>
            <w:rFonts w:ascii="Times New Roman" w:hAnsi="Times New Roman" w:cs="Times New Roman"/>
            <w:color w:val="0000FF"/>
            <w:sz w:val="20"/>
            <w:szCs w:val="20"/>
            <w:u w:val="single"/>
          </w:rPr>
          <w:t>Brorby</w:t>
        </w:r>
      </w:hyperlink>
      <w:r>
        <w:rPr>
          <w:rFonts w:ascii="Times New Roman" w:hAnsi="Times New Roman" w:cs="Times New Roman"/>
          <w:color w:val="000000"/>
          <w:sz w:val="20"/>
          <w:szCs w:val="20"/>
        </w:rPr>
        <w:t xml:space="preserve">, Senior Circuit Judge, </w:t>
      </w:r>
      <w:hyperlink r:id="rId16" w:history="1">
        <w:r>
          <w:rPr>
            <w:rFonts w:ascii="Times New Roman" w:hAnsi="Times New Roman" w:cs="Times New Roman"/>
            <w:color w:val="0000FF"/>
            <w:sz w:val="20"/>
            <w:szCs w:val="20"/>
            <w:u w:val="single"/>
          </w:rPr>
          <w:t>545 F.3d 1269,</w:t>
        </w:r>
      </w:hyperlink>
      <w:r>
        <w:rPr>
          <w:rFonts w:ascii="Times New Roman" w:hAnsi="Times New Roman" w:cs="Times New Roman"/>
          <w:color w:val="000000"/>
          <w:sz w:val="20"/>
          <w:szCs w:val="20"/>
        </w:rPr>
        <w:t xml:space="preserve"> affirmed. Cert</w:t>
      </w:r>
      <w:r>
        <w:rPr>
          <w:rFonts w:ascii="Times New Roman" w:hAnsi="Times New Roman" w:cs="Times New Roman"/>
          <w:color w:val="000000"/>
          <w:sz w:val="20"/>
          <w:szCs w:val="20"/>
        </w:rPr>
        <w:t>i</w:t>
      </w:r>
      <w:r>
        <w:rPr>
          <w:rFonts w:ascii="Times New Roman" w:hAnsi="Times New Roman" w:cs="Times New Roman"/>
          <w:color w:val="000000"/>
          <w:sz w:val="20"/>
          <w:szCs w:val="20"/>
        </w:rPr>
        <w:t>orari was granted.</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B52022242875" w:history="1">
        <w:r>
          <w:rPr>
            <w:rFonts w:ascii="Times New Roman" w:hAnsi="Times New Roman" w:cs="Times New Roman"/>
            <w:b/>
            <w:bCs/>
            <w:color w:val="0000FF"/>
            <w:sz w:val="20"/>
            <w:szCs w:val="20"/>
            <w:u w:val="single"/>
          </w:rPr>
          <w:t>Holding:</w:t>
        </w:r>
      </w:hyperlink>
      <w:r>
        <w:rPr>
          <w:rFonts w:ascii="Times New Roman" w:hAnsi="Times New Roman" w:cs="Times New Roman"/>
          <w:color w:val="000000"/>
          <w:sz w:val="20"/>
          <w:szCs w:val="20"/>
        </w:rPr>
        <w:t>The Supreme Court, Justice Alito, held that when a bankruptcy court calculates a</w:t>
      </w:r>
      <w:r>
        <w:rPr>
          <w:rFonts w:ascii="Times New Roman" w:hAnsi="Times New Roman" w:cs="Times New Roman"/>
          <w:color w:val="000000"/>
          <w:sz w:val="20"/>
          <w:szCs w:val="20"/>
        </w:rPr>
        <w:t xml:space="preserve"> Chapter 13 debtor's pr</w:t>
      </w:r>
      <w:r>
        <w:rPr>
          <w:rFonts w:ascii="Times New Roman" w:hAnsi="Times New Roman" w:cs="Times New Roman"/>
          <w:color w:val="000000"/>
          <w:sz w:val="20"/>
          <w:szCs w:val="20"/>
        </w:rPr>
        <w:t>o</w:t>
      </w:r>
      <w:r>
        <w:rPr>
          <w:rFonts w:ascii="Times New Roman" w:hAnsi="Times New Roman" w:cs="Times New Roman"/>
          <w:color w:val="000000"/>
          <w:sz w:val="20"/>
          <w:szCs w:val="20"/>
        </w:rPr>
        <w:t>jected disposable income, the court may account for changes in the debtor's income or e</w:t>
      </w:r>
      <w:r>
        <w:rPr>
          <w:rFonts w:ascii="Times New Roman" w:hAnsi="Times New Roman" w:cs="Times New Roman"/>
          <w:color w:val="000000"/>
          <w:sz w:val="20"/>
          <w:szCs w:val="20"/>
        </w:rPr>
        <w:t>x</w:t>
      </w:r>
      <w:r>
        <w:rPr>
          <w:rFonts w:ascii="Times New Roman" w:hAnsi="Times New Roman" w:cs="Times New Roman"/>
          <w:color w:val="000000"/>
          <w:sz w:val="20"/>
          <w:szCs w:val="20"/>
        </w:rPr>
        <w:t>penses that are known or virtually certain at the time of confirmation.</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Affirmed.</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Justice </w:t>
      </w:r>
      <w:hyperlink r:id="rId17" w:history="1">
        <w:r>
          <w:rPr>
            <w:rFonts w:ascii="Times New Roman" w:hAnsi="Times New Roman" w:cs="Times New Roman"/>
            <w:color w:val="0000FF"/>
            <w:sz w:val="20"/>
            <w:szCs w:val="20"/>
            <w:u w:val="single"/>
          </w:rPr>
          <w:t>Scalia</w:t>
        </w:r>
      </w:hyperlink>
      <w:r>
        <w:rPr>
          <w:rFonts w:ascii="Times New Roman" w:hAnsi="Times New Roman" w:cs="Times New Roman"/>
          <w:color w:val="000000"/>
          <w:sz w:val="20"/>
          <w:szCs w:val="20"/>
        </w:rPr>
        <w:t xml:space="preserve"> filed a dissenting opinion.</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West Headnotes</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B12022242875" w:history="1">
        <w:r>
          <w:rPr>
            <w:rFonts w:ascii="Times New Roman" w:hAnsi="Times New Roman" w:cs="Times New Roman"/>
            <w:b/>
            <w:bCs/>
            <w:color w:val="0000FF"/>
            <w:sz w:val="20"/>
            <w:szCs w:val="20"/>
            <w:u w:val="single"/>
          </w:rPr>
          <w:t>[1]</w:t>
        </w:r>
      </w:hyperlink>
      <w:bookmarkStart w:id="1" w:name="Document1zzF12022242875"/>
      <w:bookmarkEnd w:id="1"/>
      <w:r>
        <w:rPr>
          <w:rFonts w:ascii="Times New Roman" w:hAnsi="Times New Roman" w:cs="Times New Roman"/>
          <w:b/>
          <w:bCs/>
          <w:color w:val="000000"/>
          <w:sz w:val="20"/>
          <w:szCs w:val="20"/>
        </w:rPr>
        <w:t xml:space="preserve"> Bankruptcy 51 </w:t>
      </w:r>
      <w:r>
        <w:rPr>
          <w:rFonts w:ascii="Times New Roman" w:hAnsi="Times New Roman" w:cs="Times New Roman"/>
          <w:b/>
          <w:bCs/>
          <w:noProof/>
          <w:color w:val="000000"/>
          <w:sz w:val="20"/>
          <w:szCs w:val="20"/>
        </w:rPr>
        <w:drawing>
          <wp:inline distT="0" distB="0" distL="0" distR="0">
            <wp:extent cx="252095" cy="128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25209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3705</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19" w:history="1">
        <w:r>
          <w:rPr>
            <w:rFonts w:ascii="Times New Roman" w:hAnsi="Times New Roman" w:cs="Times New Roman"/>
            <w:color w:val="0000FF"/>
            <w:sz w:val="20"/>
            <w:szCs w:val="20"/>
            <w:u w:val="single"/>
          </w:rPr>
          <w:t>51</w:t>
        </w:r>
      </w:hyperlink>
      <w:r>
        <w:rPr>
          <w:rFonts w:ascii="Times New Roman" w:hAnsi="Times New Roman" w:cs="Times New Roman"/>
          <w:color w:val="000000"/>
          <w:sz w:val="20"/>
          <w:szCs w:val="20"/>
        </w:rPr>
        <w:t xml:space="preserve"> Bankruptcy</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20" w:history="1">
        <w:r>
          <w:rPr>
            <w:rFonts w:ascii="Times New Roman" w:hAnsi="Times New Roman" w:cs="Times New Roman"/>
            <w:color w:val="0000FF"/>
            <w:sz w:val="20"/>
            <w:szCs w:val="20"/>
            <w:u w:val="single"/>
          </w:rPr>
          <w:t>51XVIII</w:t>
        </w:r>
      </w:hyperlink>
      <w:r>
        <w:rPr>
          <w:rFonts w:ascii="Times New Roman" w:hAnsi="Times New Roman" w:cs="Times New Roman"/>
          <w:color w:val="000000"/>
          <w:sz w:val="20"/>
          <w:szCs w:val="20"/>
        </w:rPr>
        <w:t xml:space="preserve"> Individual Debt Adjustment</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21" w:history="1">
        <w:r>
          <w:rPr>
            <w:rFonts w:ascii="Times New Roman" w:hAnsi="Times New Roman" w:cs="Times New Roman"/>
            <w:color w:val="0000FF"/>
            <w:sz w:val="20"/>
            <w:szCs w:val="20"/>
            <w:u w:val="single"/>
          </w:rPr>
          <w:t>51k3704</w:t>
        </w:r>
      </w:hyperlink>
      <w:r>
        <w:rPr>
          <w:rFonts w:ascii="Times New Roman" w:hAnsi="Times New Roman" w:cs="Times New Roman"/>
          <w:color w:val="000000"/>
          <w:sz w:val="20"/>
          <w:szCs w:val="20"/>
        </w:rPr>
        <w:t xml:space="preserve"> Plan</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22" w:history="1">
        <w:r>
          <w:rPr>
            <w:rFonts w:ascii="Times New Roman" w:hAnsi="Times New Roman" w:cs="Times New Roman"/>
            <w:color w:val="0000FF"/>
            <w:sz w:val="20"/>
            <w:szCs w:val="20"/>
            <w:u w:val="single"/>
          </w:rPr>
          <w:t>51k3705</w:t>
        </w:r>
      </w:hyperlink>
      <w:r>
        <w:rPr>
          <w:rFonts w:ascii="Times New Roman" w:hAnsi="Times New Roman" w:cs="Times New Roman"/>
          <w:color w:val="000000"/>
          <w:sz w:val="20"/>
          <w:szCs w:val="20"/>
        </w:rPr>
        <w:t xml:space="preserve"> k. Claims and Assets; Propriety and Feasibility in General. </w:t>
      </w:r>
      <w:hyperlink r:id="rId23" w:history="1">
        <w:r>
          <w:rPr>
            <w:rFonts w:ascii="Times New Roman" w:hAnsi="Times New Roman" w:cs="Times New Roman"/>
            <w:color w:val="0000FF"/>
            <w:sz w:val="20"/>
            <w:szCs w:val="20"/>
            <w:u w:val="single"/>
          </w:rPr>
          <w:t>Most Cited Cases</w:t>
        </w:r>
      </w:hyperlink>
      <w:r>
        <w:rPr>
          <w:rFonts w:ascii="Times New Roman" w:hAnsi="Times New Roman" w:cs="Times New Roman"/>
          <w:color w:val="000000"/>
          <w:sz w:val="20"/>
          <w:szCs w:val="20"/>
        </w:rPr>
        <w:t xml:space="preserve"> </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lastRenderedPageBreak/>
        <w:t xml:space="preserve">Bankruptcy 51 </w:t>
      </w:r>
      <w:r>
        <w:rPr>
          <w:rFonts w:ascii="Times New Roman" w:hAnsi="Times New Roman" w:cs="Times New Roman"/>
          <w:b/>
          <w:bCs/>
          <w:noProof/>
          <w:color w:val="000000"/>
          <w:sz w:val="20"/>
          <w:szCs w:val="20"/>
        </w:rPr>
        <w:drawing>
          <wp:inline distT="0" distB="0" distL="0" distR="0">
            <wp:extent cx="252095" cy="1289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srcRect/>
                    <a:stretch>
                      <a:fillRect/>
                    </a:stretch>
                  </pic:blipFill>
                  <pic:spPr bwMode="auto">
                    <a:xfrm>
                      <a:off x="0" y="0"/>
                      <a:ext cx="25209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3710(2)</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24" w:history="1">
        <w:r>
          <w:rPr>
            <w:rFonts w:ascii="Times New Roman" w:hAnsi="Times New Roman" w:cs="Times New Roman"/>
            <w:color w:val="0000FF"/>
            <w:sz w:val="20"/>
            <w:szCs w:val="20"/>
            <w:u w:val="single"/>
          </w:rPr>
          <w:t>51</w:t>
        </w:r>
      </w:hyperlink>
      <w:r>
        <w:rPr>
          <w:rFonts w:ascii="Times New Roman" w:hAnsi="Times New Roman" w:cs="Times New Roman"/>
          <w:color w:val="000000"/>
          <w:sz w:val="20"/>
          <w:szCs w:val="20"/>
        </w:rPr>
        <w:t xml:space="preserve"> Bankruptcy</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25" w:history="1">
        <w:r>
          <w:rPr>
            <w:rFonts w:ascii="Times New Roman" w:hAnsi="Times New Roman" w:cs="Times New Roman"/>
            <w:color w:val="0000FF"/>
            <w:sz w:val="20"/>
            <w:szCs w:val="20"/>
            <w:u w:val="single"/>
          </w:rPr>
          <w:t>51XVIII</w:t>
        </w:r>
      </w:hyperlink>
      <w:r>
        <w:rPr>
          <w:rFonts w:ascii="Times New Roman" w:hAnsi="Times New Roman" w:cs="Times New Roman"/>
          <w:color w:val="000000"/>
          <w:sz w:val="20"/>
          <w:szCs w:val="20"/>
        </w:rPr>
        <w:t xml:space="preserve"> Individual Debt Adjustment</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26" w:history="1">
        <w:r>
          <w:rPr>
            <w:rFonts w:ascii="Times New Roman" w:hAnsi="Times New Roman" w:cs="Times New Roman"/>
            <w:color w:val="0000FF"/>
            <w:sz w:val="20"/>
            <w:szCs w:val="20"/>
            <w:u w:val="single"/>
          </w:rPr>
          <w:t>51k3704</w:t>
        </w:r>
      </w:hyperlink>
      <w:r>
        <w:rPr>
          <w:rFonts w:ascii="Times New Roman" w:hAnsi="Times New Roman" w:cs="Times New Roman"/>
          <w:color w:val="000000"/>
          <w:sz w:val="20"/>
          <w:szCs w:val="20"/>
        </w:rPr>
        <w:t xml:space="preserve"> Plan</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27" w:history="1">
        <w:r>
          <w:rPr>
            <w:rFonts w:ascii="Times New Roman" w:hAnsi="Times New Roman" w:cs="Times New Roman"/>
            <w:color w:val="0000FF"/>
            <w:sz w:val="20"/>
            <w:szCs w:val="20"/>
            <w:u w:val="single"/>
          </w:rPr>
          <w:t>51k3710</w:t>
        </w:r>
      </w:hyperlink>
      <w:r>
        <w:rPr>
          <w:rFonts w:ascii="Times New Roman" w:hAnsi="Times New Roman" w:cs="Times New Roman"/>
          <w:color w:val="000000"/>
          <w:sz w:val="20"/>
          <w:szCs w:val="20"/>
        </w:rPr>
        <w:t xml:space="preserve"> Amount of Repayment; De Min</w:t>
      </w:r>
      <w:r>
        <w:rPr>
          <w:rFonts w:ascii="Times New Roman" w:hAnsi="Times New Roman" w:cs="Times New Roman"/>
          <w:color w:val="000000"/>
          <w:sz w:val="20"/>
          <w:szCs w:val="20"/>
        </w:rPr>
        <w:t>i</w:t>
      </w:r>
      <w:r>
        <w:rPr>
          <w:rFonts w:ascii="Times New Roman" w:hAnsi="Times New Roman" w:cs="Times New Roman"/>
          <w:color w:val="000000"/>
          <w:sz w:val="20"/>
          <w:szCs w:val="20"/>
        </w:rPr>
        <w:t>mis Repayment</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28" w:history="1">
        <w:r>
          <w:rPr>
            <w:rFonts w:ascii="Times New Roman" w:hAnsi="Times New Roman" w:cs="Times New Roman"/>
            <w:color w:val="0000FF"/>
            <w:sz w:val="20"/>
            <w:szCs w:val="20"/>
            <w:u w:val="single"/>
          </w:rPr>
          <w:t>51k3710(2)</w:t>
        </w:r>
      </w:hyperlink>
      <w:r>
        <w:rPr>
          <w:rFonts w:ascii="Times New Roman" w:hAnsi="Times New Roman" w:cs="Times New Roman"/>
          <w:color w:val="000000"/>
          <w:sz w:val="20"/>
          <w:szCs w:val="20"/>
        </w:rPr>
        <w:t xml:space="preserve"> k. Payme</w:t>
      </w:r>
      <w:r>
        <w:rPr>
          <w:rFonts w:ascii="Times New Roman" w:hAnsi="Times New Roman" w:cs="Times New Roman"/>
          <w:color w:val="000000"/>
          <w:sz w:val="20"/>
          <w:szCs w:val="20"/>
        </w:rPr>
        <w:t xml:space="preserve">nt in Full. </w:t>
      </w:r>
      <w:hyperlink r:id="rId29" w:history="1">
        <w:r>
          <w:rPr>
            <w:rFonts w:ascii="Times New Roman" w:hAnsi="Times New Roman" w:cs="Times New Roman"/>
            <w:color w:val="0000FF"/>
            <w:sz w:val="20"/>
            <w:szCs w:val="20"/>
            <w:u w:val="single"/>
          </w:rPr>
          <w:t>Most Cited Cases</w:t>
        </w:r>
      </w:hyperlink>
      <w:r>
        <w:rPr>
          <w:rFonts w:ascii="Times New Roman" w:hAnsi="Times New Roman" w:cs="Times New Roman"/>
          <w:color w:val="000000"/>
          <w:sz w:val="20"/>
          <w:szCs w:val="20"/>
        </w:rPr>
        <w:t xml:space="preserve"> </w:t>
      </w:r>
      <w:bookmarkStart w:id="2" w:name="Document1zzI75e0f1ca734811df9b8c85033233"/>
      <w:bookmarkEnd w:id="2"/>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If a trustee or an unsecured credit</w:t>
      </w:r>
      <w:r>
        <w:rPr>
          <w:rFonts w:ascii="Times New Roman" w:hAnsi="Times New Roman" w:cs="Times New Roman"/>
          <w:color w:val="000000"/>
          <w:sz w:val="20"/>
          <w:szCs w:val="20"/>
        </w:rPr>
        <w:t xml:space="preserve">or objects to a Chapter 13 debtor's plan, a bankruptcy court may not approve the plan unless the plan provides for the full repayment of unsecured claims or provides that all of the debtor's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to be r</w:t>
      </w:r>
      <w:r>
        <w:rPr>
          <w:rFonts w:ascii="Times New Roman" w:hAnsi="Times New Roman" w:cs="Times New Roman"/>
          <w:color w:val="000000"/>
          <w:sz w:val="20"/>
          <w:szCs w:val="20"/>
        </w:rPr>
        <w:t>e</w:t>
      </w:r>
      <w:r>
        <w:rPr>
          <w:rFonts w:ascii="Times New Roman" w:hAnsi="Times New Roman" w:cs="Times New Roman"/>
          <w:color w:val="000000"/>
          <w:sz w:val="20"/>
          <w:szCs w:val="20"/>
        </w:rPr>
        <w:t>ceived over the duration of</w:t>
      </w:r>
      <w:r>
        <w:rPr>
          <w:rFonts w:ascii="Times New Roman" w:hAnsi="Times New Roman" w:cs="Times New Roman"/>
          <w:color w:val="000000"/>
          <w:sz w:val="20"/>
          <w:szCs w:val="20"/>
        </w:rPr>
        <w:t xml:space="preserve"> the plan will be applied to make payments in accordance with the terms of the plan. </w:t>
      </w:r>
      <w:hyperlink r:id="rId30" w:history="1">
        <w:r>
          <w:rPr>
            <w:rFonts w:ascii="Times New Roman" w:hAnsi="Times New Roman" w:cs="Times New Roman"/>
            <w:color w:val="0000FF"/>
            <w:sz w:val="20"/>
            <w:szCs w:val="20"/>
            <w:u w:val="single"/>
          </w:rPr>
          <w:t xml:space="preserve">11 </w:t>
        </w:r>
        <w:r>
          <w:rPr>
            <w:rFonts w:ascii="Times New Roman" w:hAnsi="Times New Roman" w:cs="Times New Roman"/>
            <w:color w:val="0000FF"/>
            <w:sz w:val="20"/>
            <w:szCs w:val="20"/>
            <w:u w:val="single"/>
          </w:rPr>
          <w:t>U.S.C.A. § 1325(b)(1)</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B22022242875" w:history="1">
        <w:r>
          <w:rPr>
            <w:rFonts w:ascii="Times New Roman" w:hAnsi="Times New Roman" w:cs="Times New Roman"/>
            <w:b/>
            <w:bCs/>
            <w:color w:val="0000FF"/>
            <w:sz w:val="20"/>
            <w:szCs w:val="20"/>
            <w:u w:val="single"/>
          </w:rPr>
          <w:t>[2]</w:t>
        </w:r>
      </w:hyperlink>
      <w:bookmarkStart w:id="3" w:name="Document1zzF22022242875"/>
      <w:bookmarkEnd w:id="3"/>
      <w:r>
        <w:rPr>
          <w:rFonts w:ascii="Times New Roman" w:hAnsi="Times New Roman" w:cs="Times New Roman"/>
          <w:b/>
          <w:bCs/>
          <w:color w:val="000000"/>
          <w:sz w:val="20"/>
          <w:szCs w:val="20"/>
        </w:rPr>
        <w:t xml:space="preserve"> Bankruptcy 51 </w:t>
      </w:r>
      <w:r>
        <w:rPr>
          <w:rFonts w:ascii="Times New Roman" w:hAnsi="Times New Roman" w:cs="Times New Roman"/>
          <w:b/>
          <w:bCs/>
          <w:noProof/>
          <w:color w:val="000000"/>
          <w:sz w:val="20"/>
          <w:szCs w:val="20"/>
        </w:rPr>
        <w:drawing>
          <wp:inline distT="0" distB="0" distL="0" distR="0">
            <wp:extent cx="252095" cy="1289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srcRect/>
                    <a:stretch>
                      <a:fillRect/>
                    </a:stretch>
                  </pic:blipFill>
                  <pic:spPr bwMode="auto">
                    <a:xfrm>
                      <a:off x="0" y="0"/>
                      <a:ext cx="25209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2021.1</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31" w:history="1">
        <w:r>
          <w:rPr>
            <w:rFonts w:ascii="Times New Roman" w:hAnsi="Times New Roman" w:cs="Times New Roman"/>
            <w:color w:val="0000FF"/>
            <w:sz w:val="20"/>
            <w:szCs w:val="20"/>
            <w:u w:val="single"/>
          </w:rPr>
          <w:t>51</w:t>
        </w:r>
      </w:hyperlink>
      <w:r>
        <w:rPr>
          <w:rFonts w:ascii="Times New Roman" w:hAnsi="Times New Roman" w:cs="Times New Roman"/>
          <w:color w:val="000000"/>
          <w:sz w:val="20"/>
          <w:szCs w:val="20"/>
        </w:rPr>
        <w:t xml:space="preserve"> Bankruptcy</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32" w:history="1">
        <w:r>
          <w:rPr>
            <w:rFonts w:ascii="Times New Roman" w:hAnsi="Times New Roman" w:cs="Times New Roman"/>
            <w:color w:val="0000FF"/>
            <w:sz w:val="20"/>
            <w:szCs w:val="20"/>
            <w:u w:val="single"/>
          </w:rPr>
          <w:t>51I</w:t>
        </w:r>
      </w:hyperlink>
      <w:r>
        <w:rPr>
          <w:rFonts w:ascii="Times New Roman" w:hAnsi="Times New Roman" w:cs="Times New Roman"/>
          <w:color w:val="000000"/>
          <w:sz w:val="20"/>
          <w:szCs w:val="20"/>
        </w:rPr>
        <w:t xml:space="preserve"> In General</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33" w:history="1">
        <w:r>
          <w:rPr>
            <w:rFonts w:ascii="Times New Roman" w:hAnsi="Times New Roman" w:cs="Times New Roman"/>
            <w:color w:val="0000FF"/>
            <w:sz w:val="20"/>
            <w:szCs w:val="20"/>
            <w:u w:val="single"/>
          </w:rPr>
          <w:t>51I(B)</w:t>
        </w:r>
      </w:hyperlink>
      <w:r>
        <w:rPr>
          <w:rFonts w:ascii="Times New Roman" w:hAnsi="Times New Roman" w:cs="Times New Roman"/>
          <w:color w:val="000000"/>
          <w:sz w:val="20"/>
          <w:szCs w:val="20"/>
        </w:rPr>
        <w:t xml:space="preserve"> Constitutional and Statutory Provisions</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34" w:history="1">
        <w:r>
          <w:rPr>
            <w:rFonts w:ascii="Times New Roman" w:hAnsi="Times New Roman" w:cs="Times New Roman"/>
            <w:color w:val="0000FF"/>
            <w:sz w:val="20"/>
            <w:szCs w:val="20"/>
            <w:u w:val="single"/>
          </w:rPr>
          <w:t>51k2021</w:t>
        </w:r>
      </w:hyperlink>
      <w:r>
        <w:rPr>
          <w:rFonts w:ascii="Times New Roman" w:hAnsi="Times New Roman" w:cs="Times New Roman"/>
          <w:color w:val="000000"/>
          <w:sz w:val="20"/>
          <w:szCs w:val="20"/>
        </w:rPr>
        <w:t xml:space="preserve"> Construction and Operation</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35" w:history="1">
        <w:r>
          <w:rPr>
            <w:rFonts w:ascii="Times New Roman" w:hAnsi="Times New Roman" w:cs="Times New Roman"/>
            <w:color w:val="0000FF"/>
            <w:sz w:val="20"/>
            <w:szCs w:val="20"/>
            <w:u w:val="single"/>
          </w:rPr>
          <w:t>51k2021.1</w:t>
        </w:r>
      </w:hyperlink>
      <w:r>
        <w:rPr>
          <w:rFonts w:ascii="Times New Roman" w:hAnsi="Times New Roman" w:cs="Times New Roman"/>
          <w:color w:val="000000"/>
          <w:sz w:val="20"/>
          <w:szCs w:val="20"/>
        </w:rPr>
        <w:t xml:space="preserve"> k. In General. </w:t>
      </w:r>
      <w:hyperlink r:id="rId36" w:history="1">
        <w:r>
          <w:rPr>
            <w:rFonts w:ascii="Times New Roman" w:hAnsi="Times New Roman" w:cs="Times New Roman"/>
            <w:color w:val="0000FF"/>
            <w:sz w:val="20"/>
            <w:szCs w:val="20"/>
            <w:u w:val="single"/>
          </w:rPr>
          <w:t>Most Cited Cases</w:t>
        </w:r>
      </w:hyperlink>
      <w:r>
        <w:rPr>
          <w:rFonts w:ascii="Times New Roman" w:hAnsi="Times New Roman" w:cs="Times New Roman"/>
          <w:color w:val="000000"/>
          <w:sz w:val="20"/>
          <w:szCs w:val="20"/>
        </w:rPr>
        <w:t xml:space="preserve"> </w:t>
      </w:r>
      <w:bookmarkStart w:id="4" w:name="Document1zzI75e0f1cc734811df9b8c85033233"/>
      <w:bookmarkEnd w:id="4"/>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Under the Bankruptcy Code, as amended by the Bankruptcy Abuse Prevention and Consumer Prote</w:t>
      </w:r>
      <w:r>
        <w:rPr>
          <w:rFonts w:ascii="Times New Roman" w:hAnsi="Times New Roman" w:cs="Times New Roman"/>
          <w:color w:val="000000"/>
          <w:sz w:val="20"/>
          <w:szCs w:val="20"/>
        </w:rPr>
        <w:t>c</w:t>
      </w:r>
      <w:r>
        <w:rPr>
          <w:rFonts w:ascii="Times New Roman" w:hAnsi="Times New Roman" w:cs="Times New Roman"/>
          <w:color w:val="000000"/>
          <w:sz w:val="20"/>
          <w:szCs w:val="20"/>
        </w:rPr>
        <w:t>t</w:t>
      </w:r>
      <w:r>
        <w:rPr>
          <w:rFonts w:ascii="Times New Roman" w:hAnsi="Times New Roman" w:cs="Times New Roman"/>
          <w:color w:val="000000"/>
          <w:sz w:val="20"/>
          <w:szCs w:val="20"/>
        </w:rPr>
        <w:t xml:space="preserve">ion Act (BAPCPA), </w:t>
      </w:r>
      <w:r>
        <w:rPr>
          <w:rFonts w:ascii="Times New Roman" w:hAnsi="Times New Roman" w:cs="Times New Roman"/>
          <w:color w:val="000000"/>
          <w:sz w:val="20"/>
          <w:szCs w:val="20"/>
        </w:rPr>
        <w:t>“</w:t>
      </w:r>
      <w:r>
        <w:rPr>
          <w:rFonts w:ascii="Times New Roman" w:hAnsi="Times New Roman" w:cs="Times New Roman"/>
          <w:color w:val="000000"/>
          <w:sz w:val="20"/>
          <w:szCs w:val="20"/>
        </w:rPr>
        <w:t>current monthly i</w:t>
      </w:r>
      <w:r>
        <w:rPr>
          <w:rFonts w:ascii="Times New Roman" w:hAnsi="Times New Roman" w:cs="Times New Roman"/>
          <w:color w:val="000000"/>
          <w:sz w:val="20"/>
          <w:szCs w:val="20"/>
        </w:rPr>
        <w:t>n</w:t>
      </w:r>
      <w:r>
        <w:rPr>
          <w:rFonts w:ascii="Times New Roman" w:hAnsi="Times New Roman" w:cs="Times New Roman"/>
          <w:color w:val="000000"/>
          <w:sz w:val="20"/>
          <w:szCs w:val="20"/>
        </w:rPr>
        <w:t>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is calculated by averaging a debtor's monthly income during the six-month look-back period, which gene</w:t>
      </w:r>
      <w:r>
        <w:rPr>
          <w:rFonts w:ascii="Times New Roman" w:hAnsi="Times New Roman" w:cs="Times New Roman"/>
          <w:color w:val="000000"/>
          <w:sz w:val="20"/>
          <w:szCs w:val="20"/>
        </w:rPr>
        <w:t>r</w:t>
      </w:r>
      <w:r>
        <w:rPr>
          <w:rFonts w:ascii="Times New Roman" w:hAnsi="Times New Roman" w:cs="Times New Roman"/>
          <w:color w:val="000000"/>
          <w:sz w:val="20"/>
          <w:szCs w:val="20"/>
        </w:rPr>
        <w:t xml:space="preserve">ally consists of the six full months preceding the filing of the bankruptcy petition. </w:t>
      </w:r>
      <w:hyperlink r:id="rId37" w:history="1">
        <w:r>
          <w:rPr>
            <w:rFonts w:ascii="Times New Roman" w:hAnsi="Times New Roman" w:cs="Times New Roman"/>
            <w:color w:val="0000FF"/>
            <w:sz w:val="20"/>
            <w:szCs w:val="20"/>
            <w:u w:val="single"/>
          </w:rPr>
          <w:t>11 U.S.C.A. § 101(10A)(A)(i)</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B32022242875" w:history="1">
        <w:r>
          <w:rPr>
            <w:rFonts w:ascii="Times New Roman" w:hAnsi="Times New Roman" w:cs="Times New Roman"/>
            <w:b/>
            <w:bCs/>
            <w:color w:val="0000FF"/>
            <w:sz w:val="20"/>
            <w:szCs w:val="20"/>
            <w:u w:val="single"/>
          </w:rPr>
          <w:t>[3]</w:t>
        </w:r>
      </w:hyperlink>
      <w:bookmarkStart w:id="5" w:name="Document1zzF32022242875"/>
      <w:bookmarkEnd w:id="5"/>
      <w:r>
        <w:rPr>
          <w:rFonts w:ascii="Times New Roman" w:hAnsi="Times New Roman" w:cs="Times New Roman"/>
          <w:b/>
          <w:bCs/>
          <w:color w:val="000000"/>
          <w:sz w:val="20"/>
          <w:szCs w:val="20"/>
        </w:rPr>
        <w:t xml:space="preserve"> Bankruptcy 51 </w:t>
      </w:r>
      <w:r>
        <w:rPr>
          <w:rFonts w:ascii="Times New Roman" w:hAnsi="Times New Roman" w:cs="Times New Roman"/>
          <w:b/>
          <w:bCs/>
          <w:noProof/>
          <w:color w:val="000000"/>
          <w:sz w:val="20"/>
          <w:szCs w:val="20"/>
        </w:rPr>
        <w:drawing>
          <wp:inline distT="0" distB="0" distL="0" distR="0">
            <wp:extent cx="252095" cy="1289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srcRect/>
                    <a:stretch>
                      <a:fillRect/>
                    </a:stretch>
                  </pic:blipFill>
                  <pic:spPr bwMode="auto">
                    <a:xfrm>
                      <a:off x="0" y="0"/>
                      <a:ext cx="25209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2021.1</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38" w:history="1">
        <w:r>
          <w:rPr>
            <w:rFonts w:ascii="Times New Roman" w:hAnsi="Times New Roman" w:cs="Times New Roman"/>
            <w:color w:val="0000FF"/>
            <w:sz w:val="20"/>
            <w:szCs w:val="20"/>
            <w:u w:val="single"/>
          </w:rPr>
          <w:t>51</w:t>
        </w:r>
      </w:hyperlink>
      <w:r>
        <w:rPr>
          <w:rFonts w:ascii="Times New Roman" w:hAnsi="Times New Roman" w:cs="Times New Roman"/>
          <w:color w:val="000000"/>
          <w:sz w:val="20"/>
          <w:szCs w:val="20"/>
        </w:rPr>
        <w:t xml:space="preserve"> Bankruptcy</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39" w:history="1">
        <w:r>
          <w:rPr>
            <w:rFonts w:ascii="Times New Roman" w:hAnsi="Times New Roman" w:cs="Times New Roman"/>
            <w:color w:val="0000FF"/>
            <w:sz w:val="20"/>
            <w:szCs w:val="20"/>
            <w:u w:val="single"/>
          </w:rPr>
          <w:t>51I</w:t>
        </w:r>
      </w:hyperlink>
      <w:r>
        <w:rPr>
          <w:rFonts w:ascii="Times New Roman" w:hAnsi="Times New Roman" w:cs="Times New Roman"/>
          <w:color w:val="000000"/>
          <w:sz w:val="20"/>
          <w:szCs w:val="20"/>
        </w:rPr>
        <w:t xml:space="preserve"> In General</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40" w:history="1">
        <w:r>
          <w:rPr>
            <w:rFonts w:ascii="Times New Roman" w:hAnsi="Times New Roman" w:cs="Times New Roman"/>
            <w:color w:val="0000FF"/>
            <w:sz w:val="20"/>
            <w:szCs w:val="20"/>
            <w:u w:val="single"/>
          </w:rPr>
          <w:t>51I(B)</w:t>
        </w:r>
      </w:hyperlink>
      <w:r>
        <w:rPr>
          <w:rFonts w:ascii="Times New Roman" w:hAnsi="Times New Roman" w:cs="Times New Roman"/>
          <w:color w:val="000000"/>
          <w:sz w:val="20"/>
          <w:szCs w:val="20"/>
        </w:rPr>
        <w:t xml:space="preserve"> Constitutional and Statutory Provisions</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41" w:history="1">
        <w:r>
          <w:rPr>
            <w:rFonts w:ascii="Times New Roman" w:hAnsi="Times New Roman" w:cs="Times New Roman"/>
            <w:color w:val="0000FF"/>
            <w:sz w:val="20"/>
            <w:szCs w:val="20"/>
            <w:u w:val="single"/>
          </w:rPr>
          <w:t>51k2021</w:t>
        </w:r>
      </w:hyperlink>
      <w:r>
        <w:rPr>
          <w:rFonts w:ascii="Times New Roman" w:hAnsi="Times New Roman" w:cs="Times New Roman"/>
          <w:color w:val="000000"/>
          <w:sz w:val="20"/>
          <w:szCs w:val="20"/>
        </w:rPr>
        <w:t xml:space="preserve"> Construction and Operation</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42" w:history="1">
        <w:r>
          <w:rPr>
            <w:rFonts w:ascii="Times New Roman" w:hAnsi="Times New Roman" w:cs="Times New Roman"/>
            <w:color w:val="0000FF"/>
            <w:sz w:val="20"/>
            <w:szCs w:val="20"/>
            <w:u w:val="single"/>
          </w:rPr>
          <w:t>51k2021.1</w:t>
        </w:r>
      </w:hyperlink>
      <w:r>
        <w:rPr>
          <w:rFonts w:ascii="Times New Roman" w:hAnsi="Times New Roman" w:cs="Times New Roman"/>
          <w:color w:val="000000"/>
          <w:sz w:val="20"/>
          <w:szCs w:val="20"/>
        </w:rPr>
        <w:t xml:space="preserve"> k. In General. </w:t>
      </w:r>
      <w:hyperlink r:id="rId43" w:history="1">
        <w:r>
          <w:rPr>
            <w:rFonts w:ascii="Times New Roman" w:hAnsi="Times New Roman" w:cs="Times New Roman"/>
            <w:color w:val="0000FF"/>
            <w:sz w:val="20"/>
            <w:szCs w:val="20"/>
            <w:u w:val="single"/>
          </w:rPr>
          <w:t>Most Cited Cases</w:t>
        </w:r>
      </w:hyperlink>
      <w:r>
        <w:rPr>
          <w:rFonts w:ascii="Times New Roman" w:hAnsi="Times New Roman" w:cs="Times New Roman"/>
          <w:color w:val="000000"/>
          <w:sz w:val="20"/>
          <w:szCs w:val="20"/>
        </w:rPr>
        <w:t xml:space="preserve"> </w:t>
      </w:r>
      <w:bookmarkStart w:id="6" w:name="Document1zzI75e0f1ce734811df9b8c85033233"/>
      <w:bookmarkEnd w:id="6"/>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If a debtor does not file the required Schedule I, the b</w:t>
      </w:r>
      <w:r>
        <w:rPr>
          <w:rFonts w:ascii="Times New Roman" w:hAnsi="Times New Roman" w:cs="Times New Roman"/>
          <w:color w:val="000000"/>
          <w:sz w:val="20"/>
          <w:szCs w:val="20"/>
        </w:rPr>
        <w:t xml:space="preserve">ankruptcy court, in calculating the debtor's </w:t>
      </w:r>
      <w:r>
        <w:rPr>
          <w:rFonts w:ascii="Times New Roman" w:hAnsi="Times New Roman" w:cs="Times New Roman"/>
          <w:color w:val="000000"/>
          <w:sz w:val="20"/>
          <w:szCs w:val="20"/>
        </w:rPr>
        <w:t>“</w:t>
      </w:r>
      <w:r>
        <w:rPr>
          <w:rFonts w:ascii="Times New Roman" w:hAnsi="Times New Roman" w:cs="Times New Roman"/>
          <w:color w:val="000000"/>
          <w:sz w:val="20"/>
          <w:szCs w:val="20"/>
        </w:rPr>
        <w:t>current monthly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may select a different six-month period than the six full months preceding the filing of </w:t>
      </w:r>
      <w:r>
        <w:rPr>
          <w:rFonts w:ascii="Times New Roman" w:hAnsi="Times New Roman" w:cs="Times New Roman"/>
          <w:color w:val="000000"/>
          <w:sz w:val="20"/>
          <w:szCs w:val="20"/>
        </w:rPr>
        <w:lastRenderedPageBreak/>
        <w:t xml:space="preserve">the bankruptcy petition. </w:t>
      </w:r>
      <w:hyperlink r:id="rId44" w:history="1">
        <w:r>
          <w:rPr>
            <w:rFonts w:ascii="Times New Roman" w:hAnsi="Times New Roman" w:cs="Times New Roman"/>
            <w:color w:val="0000FF"/>
            <w:sz w:val="20"/>
            <w:szCs w:val="20"/>
            <w:u w:val="single"/>
          </w:rPr>
          <w:t>11 U.S.C.A. § 101(10A)(A)(ii)</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B42022242875" w:history="1">
        <w:r>
          <w:rPr>
            <w:rFonts w:ascii="Times New Roman" w:hAnsi="Times New Roman" w:cs="Times New Roman"/>
            <w:b/>
            <w:bCs/>
            <w:color w:val="0000FF"/>
            <w:sz w:val="20"/>
            <w:szCs w:val="20"/>
            <w:u w:val="single"/>
          </w:rPr>
          <w:t>[4]</w:t>
        </w:r>
      </w:hyperlink>
      <w:bookmarkStart w:id="7" w:name="Document1zzF42022242875"/>
      <w:bookmarkEnd w:id="7"/>
      <w:r>
        <w:rPr>
          <w:rFonts w:ascii="Times New Roman" w:hAnsi="Times New Roman" w:cs="Times New Roman"/>
          <w:b/>
          <w:bCs/>
          <w:color w:val="000000"/>
          <w:sz w:val="20"/>
          <w:szCs w:val="20"/>
        </w:rPr>
        <w:t xml:space="preserve"> Bankruptcy 51 </w:t>
      </w:r>
      <w:r>
        <w:rPr>
          <w:rFonts w:ascii="Times New Roman" w:hAnsi="Times New Roman" w:cs="Times New Roman"/>
          <w:b/>
          <w:bCs/>
          <w:noProof/>
          <w:color w:val="000000"/>
          <w:sz w:val="20"/>
          <w:szCs w:val="20"/>
        </w:rPr>
        <w:drawing>
          <wp:inline distT="0" distB="0" distL="0" distR="0">
            <wp:extent cx="252095" cy="1289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srcRect/>
                    <a:stretch>
                      <a:fillRect/>
                    </a:stretch>
                  </pic:blipFill>
                  <pic:spPr bwMode="auto">
                    <a:xfrm>
                      <a:off x="0" y="0"/>
                      <a:ext cx="25209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3705</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45" w:history="1">
        <w:r>
          <w:rPr>
            <w:rFonts w:ascii="Times New Roman" w:hAnsi="Times New Roman" w:cs="Times New Roman"/>
            <w:color w:val="0000FF"/>
            <w:sz w:val="20"/>
            <w:szCs w:val="20"/>
            <w:u w:val="single"/>
          </w:rPr>
          <w:t>51</w:t>
        </w:r>
      </w:hyperlink>
      <w:r>
        <w:rPr>
          <w:rFonts w:ascii="Times New Roman" w:hAnsi="Times New Roman" w:cs="Times New Roman"/>
          <w:color w:val="000000"/>
          <w:sz w:val="20"/>
          <w:szCs w:val="20"/>
        </w:rPr>
        <w:t xml:space="preserve"> Bankruptcy</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46" w:history="1">
        <w:r>
          <w:rPr>
            <w:rFonts w:ascii="Times New Roman" w:hAnsi="Times New Roman" w:cs="Times New Roman"/>
            <w:color w:val="0000FF"/>
            <w:sz w:val="20"/>
            <w:szCs w:val="20"/>
            <w:u w:val="single"/>
          </w:rPr>
          <w:t>51XVIII</w:t>
        </w:r>
      </w:hyperlink>
      <w:r>
        <w:rPr>
          <w:rFonts w:ascii="Times New Roman" w:hAnsi="Times New Roman" w:cs="Times New Roman"/>
          <w:color w:val="000000"/>
          <w:sz w:val="20"/>
          <w:szCs w:val="20"/>
        </w:rPr>
        <w:t xml:space="preserve"> Individual Debt Adjustment</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47" w:history="1">
        <w:r>
          <w:rPr>
            <w:rFonts w:ascii="Times New Roman" w:hAnsi="Times New Roman" w:cs="Times New Roman"/>
            <w:color w:val="0000FF"/>
            <w:sz w:val="20"/>
            <w:szCs w:val="20"/>
            <w:u w:val="single"/>
          </w:rPr>
          <w:t>51k3704</w:t>
        </w:r>
      </w:hyperlink>
      <w:r>
        <w:rPr>
          <w:rFonts w:ascii="Times New Roman" w:hAnsi="Times New Roman" w:cs="Times New Roman"/>
          <w:color w:val="000000"/>
          <w:sz w:val="20"/>
          <w:szCs w:val="20"/>
        </w:rPr>
        <w:t xml:space="preserve"> Plan</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48" w:history="1">
        <w:r>
          <w:rPr>
            <w:rFonts w:ascii="Times New Roman" w:hAnsi="Times New Roman" w:cs="Times New Roman"/>
            <w:color w:val="0000FF"/>
            <w:sz w:val="20"/>
            <w:szCs w:val="20"/>
            <w:u w:val="single"/>
          </w:rPr>
          <w:t>51k3705</w:t>
        </w:r>
      </w:hyperlink>
      <w:r>
        <w:rPr>
          <w:rFonts w:ascii="Times New Roman" w:hAnsi="Times New Roman" w:cs="Times New Roman"/>
          <w:color w:val="000000"/>
          <w:sz w:val="20"/>
          <w:szCs w:val="20"/>
        </w:rPr>
        <w:t xml:space="preserve"> k. Claims and Assets; Propriety and Feasibility in General. </w:t>
      </w:r>
      <w:hyperlink r:id="rId49" w:history="1">
        <w:r>
          <w:rPr>
            <w:rFonts w:ascii="Times New Roman" w:hAnsi="Times New Roman" w:cs="Times New Roman"/>
            <w:color w:val="0000FF"/>
            <w:sz w:val="20"/>
            <w:szCs w:val="20"/>
            <w:u w:val="single"/>
          </w:rPr>
          <w:t>Most Cited Cases</w:t>
        </w:r>
      </w:hyperlink>
      <w:r>
        <w:rPr>
          <w:rFonts w:ascii="Times New Roman" w:hAnsi="Times New Roman" w:cs="Times New Roman"/>
          <w:color w:val="000000"/>
          <w:sz w:val="20"/>
          <w:szCs w:val="20"/>
        </w:rPr>
        <w:t xml:space="preserve"> </w:t>
      </w:r>
      <w:bookmarkStart w:id="8" w:name="Document1zzI75e0f1d0734811df9b8c85033233"/>
      <w:bookmarkEnd w:id="8"/>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Under the Bankruptcy Code, as amended by the Bankruptcy Abuse Prevention and Consumer Prote</w:t>
      </w:r>
      <w:r>
        <w:rPr>
          <w:rFonts w:ascii="Times New Roman" w:hAnsi="Times New Roman" w:cs="Times New Roman"/>
          <w:color w:val="000000"/>
          <w:sz w:val="20"/>
          <w:szCs w:val="20"/>
        </w:rPr>
        <w:t>c</w:t>
      </w:r>
      <w:r>
        <w:rPr>
          <w:rFonts w:ascii="Times New Roman" w:hAnsi="Times New Roman" w:cs="Times New Roman"/>
          <w:color w:val="000000"/>
          <w:sz w:val="20"/>
          <w:szCs w:val="20"/>
        </w:rPr>
        <w:t>tion Act (BAPCPA), for purposes of calcula</w:t>
      </w:r>
      <w:r>
        <w:rPr>
          <w:rFonts w:ascii="Times New Roman" w:hAnsi="Times New Roman" w:cs="Times New Roman"/>
          <w:color w:val="000000"/>
          <w:sz w:val="20"/>
          <w:szCs w:val="20"/>
        </w:rPr>
        <w:t>t</w:t>
      </w:r>
      <w:r>
        <w:rPr>
          <w:rFonts w:ascii="Times New Roman" w:hAnsi="Times New Roman" w:cs="Times New Roman"/>
          <w:color w:val="000000"/>
          <w:sz w:val="20"/>
          <w:szCs w:val="20"/>
        </w:rPr>
        <w:t>ing the disposable income of a Chapter 13 debtor whose i</w:t>
      </w:r>
      <w:r>
        <w:rPr>
          <w:rFonts w:ascii="Times New Roman" w:hAnsi="Times New Roman" w:cs="Times New Roman"/>
          <w:color w:val="000000"/>
          <w:sz w:val="20"/>
          <w:szCs w:val="20"/>
        </w:rPr>
        <w:t>n</w:t>
      </w:r>
      <w:r>
        <w:rPr>
          <w:rFonts w:ascii="Times New Roman" w:hAnsi="Times New Roman" w:cs="Times New Roman"/>
          <w:color w:val="000000"/>
          <w:sz w:val="20"/>
          <w:szCs w:val="20"/>
        </w:rPr>
        <w:t>come is below the median for his or her</w:t>
      </w:r>
      <w:r>
        <w:rPr>
          <w:rFonts w:ascii="Times New Roman" w:hAnsi="Times New Roman" w:cs="Times New Roman"/>
          <w:color w:val="000000"/>
          <w:sz w:val="20"/>
          <w:szCs w:val="20"/>
        </w:rPr>
        <w:t xml:space="preserve"> state, the phrase </w:t>
      </w:r>
      <w:r>
        <w:rPr>
          <w:rFonts w:ascii="Times New Roman" w:hAnsi="Times New Roman" w:cs="Times New Roman"/>
          <w:color w:val="000000"/>
          <w:sz w:val="20"/>
          <w:szCs w:val="20"/>
        </w:rPr>
        <w:t>“</w:t>
      </w:r>
      <w:r>
        <w:rPr>
          <w:rFonts w:ascii="Times New Roman" w:hAnsi="Times New Roman" w:cs="Times New Roman"/>
          <w:color w:val="000000"/>
          <w:sz w:val="20"/>
          <w:szCs w:val="20"/>
        </w:rPr>
        <w:t>amounts reasonably necessary to be e</w:t>
      </w:r>
      <w:r>
        <w:rPr>
          <w:rFonts w:ascii="Times New Roman" w:hAnsi="Times New Roman" w:cs="Times New Roman"/>
          <w:color w:val="000000"/>
          <w:sz w:val="20"/>
          <w:szCs w:val="20"/>
        </w:rPr>
        <w:t>x</w:t>
      </w:r>
      <w:r>
        <w:rPr>
          <w:rFonts w:ascii="Times New Roman" w:hAnsi="Times New Roman" w:cs="Times New Roman"/>
          <w:color w:val="000000"/>
          <w:sz w:val="20"/>
          <w:szCs w:val="20"/>
        </w:rPr>
        <w:t>pended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for the debtor's maintenance and support includes the full amount needed for </w:t>
      </w:r>
      <w:r>
        <w:rPr>
          <w:rFonts w:ascii="Times New Roman" w:hAnsi="Times New Roman" w:cs="Times New Roman"/>
          <w:color w:val="000000"/>
          <w:sz w:val="20"/>
          <w:szCs w:val="20"/>
        </w:rPr>
        <w:t>“</w:t>
      </w:r>
      <w:r>
        <w:rPr>
          <w:rFonts w:ascii="Times New Roman" w:hAnsi="Times New Roman" w:cs="Times New Roman"/>
          <w:color w:val="000000"/>
          <w:sz w:val="20"/>
          <w:szCs w:val="20"/>
        </w:rPr>
        <w:t>maintenance or support,</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but for a debtor with income that exceeds the state median, only certain specified expen</w:t>
      </w:r>
      <w:r>
        <w:rPr>
          <w:rFonts w:ascii="Times New Roman" w:hAnsi="Times New Roman" w:cs="Times New Roman"/>
          <w:color w:val="000000"/>
          <w:sz w:val="20"/>
          <w:szCs w:val="20"/>
        </w:rPr>
        <w:t>ses are i</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cluded. </w:t>
      </w:r>
      <w:hyperlink r:id="rId50" w:history="1">
        <w:r>
          <w:rPr>
            <w:rFonts w:ascii="Times New Roman" w:hAnsi="Times New Roman" w:cs="Times New Roman"/>
            <w:color w:val="0000FF"/>
            <w:sz w:val="20"/>
            <w:szCs w:val="20"/>
            <w:u w:val="single"/>
          </w:rPr>
          <w:t>11 U.S.C.A. §§ 707(b)(2)</w:t>
        </w:r>
      </w:hyperlink>
      <w:r>
        <w:rPr>
          <w:rFonts w:ascii="Times New Roman" w:hAnsi="Times New Roman" w:cs="Times New Roman"/>
          <w:color w:val="000000"/>
          <w:sz w:val="20"/>
          <w:szCs w:val="20"/>
        </w:rPr>
        <w:t xml:space="preserve">, </w:t>
      </w:r>
      <w:hyperlink r:id="rId51" w:history="1">
        <w:r>
          <w:rPr>
            <w:rFonts w:ascii="Times New Roman" w:hAnsi="Times New Roman" w:cs="Times New Roman"/>
            <w:color w:val="0000FF"/>
            <w:sz w:val="20"/>
            <w:szCs w:val="20"/>
            <w:u w:val="single"/>
          </w:rPr>
          <w:t>1325(b)(2)</w:t>
        </w:r>
      </w:hyperlink>
      <w:r>
        <w:rPr>
          <w:rFonts w:ascii="Times New Roman" w:hAnsi="Times New Roman" w:cs="Times New Roman"/>
          <w:color w:val="000000"/>
          <w:sz w:val="20"/>
          <w:szCs w:val="20"/>
        </w:rPr>
        <w:t xml:space="preserve">, </w:t>
      </w:r>
      <w:hyperlink r:id="rId52" w:history="1">
        <w:r>
          <w:rPr>
            <w:rFonts w:ascii="Times New Roman" w:hAnsi="Times New Roman" w:cs="Times New Roman"/>
            <w:color w:val="0000FF"/>
            <w:sz w:val="20"/>
            <w:szCs w:val="20"/>
            <w:u w:val="single"/>
          </w:rPr>
          <w:t>(b)(2)(A)(i)</w:t>
        </w:r>
      </w:hyperlink>
      <w:r>
        <w:rPr>
          <w:rFonts w:ascii="Times New Roman" w:hAnsi="Times New Roman" w:cs="Times New Roman"/>
          <w:color w:val="000000"/>
          <w:sz w:val="20"/>
          <w:szCs w:val="20"/>
        </w:rPr>
        <w:t xml:space="preserve">, </w:t>
      </w:r>
      <w:hyperlink r:id="rId53" w:history="1">
        <w:r>
          <w:rPr>
            <w:rFonts w:ascii="Times New Roman" w:hAnsi="Times New Roman" w:cs="Times New Roman"/>
            <w:color w:val="0000FF"/>
            <w:sz w:val="20"/>
            <w:szCs w:val="20"/>
            <w:u w:val="single"/>
          </w:rPr>
          <w:t>(b)(3)(A)</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B52022242875" w:history="1">
        <w:r>
          <w:rPr>
            <w:rFonts w:ascii="Times New Roman" w:hAnsi="Times New Roman" w:cs="Times New Roman"/>
            <w:b/>
            <w:bCs/>
            <w:color w:val="0000FF"/>
            <w:sz w:val="20"/>
            <w:szCs w:val="20"/>
            <w:u w:val="single"/>
          </w:rPr>
          <w:t>[5]</w:t>
        </w:r>
      </w:hyperlink>
      <w:bookmarkStart w:id="9" w:name="Document1zzF52022242875"/>
      <w:bookmarkEnd w:id="9"/>
      <w:r>
        <w:rPr>
          <w:rFonts w:ascii="Times New Roman" w:hAnsi="Times New Roman" w:cs="Times New Roman"/>
          <w:b/>
          <w:bCs/>
          <w:color w:val="000000"/>
          <w:sz w:val="20"/>
          <w:szCs w:val="20"/>
        </w:rPr>
        <w:t xml:space="preserve"> Bankruptcy 51 </w:t>
      </w:r>
      <w:r>
        <w:rPr>
          <w:rFonts w:ascii="Times New Roman" w:hAnsi="Times New Roman" w:cs="Times New Roman"/>
          <w:b/>
          <w:bCs/>
          <w:noProof/>
          <w:color w:val="000000"/>
          <w:sz w:val="20"/>
          <w:szCs w:val="20"/>
        </w:rPr>
        <w:drawing>
          <wp:inline distT="0" distB="0" distL="0" distR="0">
            <wp:extent cx="252095" cy="1289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srcRect/>
                    <a:stretch>
                      <a:fillRect/>
                    </a:stretch>
                  </pic:blipFill>
                  <pic:spPr bwMode="auto">
                    <a:xfrm>
                      <a:off x="0" y="0"/>
                      <a:ext cx="25209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3705</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54" w:history="1">
        <w:r>
          <w:rPr>
            <w:rFonts w:ascii="Times New Roman" w:hAnsi="Times New Roman" w:cs="Times New Roman"/>
            <w:color w:val="0000FF"/>
            <w:sz w:val="20"/>
            <w:szCs w:val="20"/>
            <w:u w:val="single"/>
          </w:rPr>
          <w:t>51</w:t>
        </w:r>
      </w:hyperlink>
      <w:r>
        <w:rPr>
          <w:rFonts w:ascii="Times New Roman" w:hAnsi="Times New Roman" w:cs="Times New Roman"/>
          <w:color w:val="000000"/>
          <w:sz w:val="20"/>
          <w:szCs w:val="20"/>
        </w:rPr>
        <w:t xml:space="preserve"> Bankruptcy</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55" w:history="1">
        <w:r>
          <w:rPr>
            <w:rFonts w:ascii="Times New Roman" w:hAnsi="Times New Roman" w:cs="Times New Roman"/>
            <w:color w:val="0000FF"/>
            <w:sz w:val="20"/>
            <w:szCs w:val="20"/>
            <w:u w:val="single"/>
          </w:rPr>
          <w:t>51XVIII</w:t>
        </w:r>
      </w:hyperlink>
      <w:r>
        <w:rPr>
          <w:rFonts w:ascii="Times New Roman" w:hAnsi="Times New Roman" w:cs="Times New Roman"/>
          <w:color w:val="000000"/>
          <w:sz w:val="20"/>
          <w:szCs w:val="20"/>
        </w:rPr>
        <w:t xml:space="preserve"> Individual Debt Adjustment</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56" w:history="1">
        <w:r>
          <w:rPr>
            <w:rFonts w:ascii="Times New Roman" w:hAnsi="Times New Roman" w:cs="Times New Roman"/>
            <w:color w:val="0000FF"/>
            <w:sz w:val="20"/>
            <w:szCs w:val="20"/>
            <w:u w:val="single"/>
          </w:rPr>
          <w:t>51k3704</w:t>
        </w:r>
      </w:hyperlink>
      <w:r>
        <w:rPr>
          <w:rFonts w:ascii="Times New Roman" w:hAnsi="Times New Roman" w:cs="Times New Roman"/>
          <w:color w:val="000000"/>
          <w:sz w:val="20"/>
          <w:szCs w:val="20"/>
        </w:rPr>
        <w:t xml:space="preserve"> Plan</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57" w:history="1">
        <w:r>
          <w:rPr>
            <w:rFonts w:ascii="Times New Roman" w:hAnsi="Times New Roman" w:cs="Times New Roman"/>
            <w:color w:val="0000FF"/>
            <w:sz w:val="20"/>
            <w:szCs w:val="20"/>
            <w:u w:val="single"/>
          </w:rPr>
          <w:t>51k3705</w:t>
        </w:r>
      </w:hyperlink>
      <w:r>
        <w:rPr>
          <w:rFonts w:ascii="Times New Roman" w:hAnsi="Times New Roman" w:cs="Times New Roman"/>
          <w:color w:val="000000"/>
          <w:sz w:val="20"/>
          <w:szCs w:val="20"/>
        </w:rPr>
        <w:t xml:space="preserve"> k. Claims and Assets; Propriety and Feasibility in General. </w:t>
      </w:r>
      <w:hyperlink r:id="rId58" w:history="1">
        <w:r>
          <w:rPr>
            <w:rFonts w:ascii="Times New Roman" w:hAnsi="Times New Roman" w:cs="Times New Roman"/>
            <w:color w:val="0000FF"/>
            <w:sz w:val="20"/>
            <w:szCs w:val="20"/>
            <w:u w:val="single"/>
          </w:rPr>
          <w:t>Most Cited Cases</w:t>
        </w:r>
      </w:hyperlink>
      <w:r>
        <w:rPr>
          <w:rFonts w:ascii="Times New Roman" w:hAnsi="Times New Roman" w:cs="Times New Roman"/>
          <w:color w:val="000000"/>
          <w:sz w:val="20"/>
          <w:szCs w:val="20"/>
        </w:rPr>
        <w:t xml:space="preserve"> </w:t>
      </w:r>
      <w:bookmarkStart w:id="10" w:name="Document1zzI75e0f1d2734811df9b8c85033233"/>
      <w:bookmarkEnd w:id="10"/>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When a bankruptcy court calculates a Chapter 13 debtor's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the court may account for changes in the debtor's income or e</w:t>
      </w:r>
      <w:r>
        <w:rPr>
          <w:rFonts w:ascii="Times New Roman" w:hAnsi="Times New Roman" w:cs="Times New Roman"/>
          <w:color w:val="000000"/>
          <w:sz w:val="20"/>
          <w:szCs w:val="20"/>
        </w:rPr>
        <w:t>x</w:t>
      </w:r>
      <w:r>
        <w:rPr>
          <w:rFonts w:ascii="Times New Roman" w:hAnsi="Times New Roman" w:cs="Times New Roman"/>
          <w:color w:val="000000"/>
          <w:sz w:val="20"/>
          <w:szCs w:val="20"/>
        </w:rPr>
        <w:t>penses that are known or virtually certain at the time of confirmation.</w:t>
      </w:r>
      <w:r>
        <w:rPr>
          <w:rFonts w:ascii="Times New Roman" w:hAnsi="Times New Roman" w:cs="Times New Roman"/>
          <w:color w:val="000000"/>
          <w:sz w:val="20"/>
          <w:szCs w:val="20"/>
        </w:rPr>
        <w:t xml:space="preserve"> </w:t>
      </w:r>
      <w:hyperlink r:id="rId59" w:history="1">
        <w:r>
          <w:rPr>
            <w:rFonts w:ascii="Times New Roman" w:hAnsi="Times New Roman" w:cs="Times New Roman"/>
            <w:color w:val="0000FF"/>
            <w:sz w:val="20"/>
            <w:szCs w:val="20"/>
            <w:u w:val="single"/>
          </w:rPr>
          <w:t>11 U.S.C.A. § 1325(b)(1)(B)</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B62022242875" w:history="1">
        <w:r>
          <w:rPr>
            <w:rFonts w:ascii="Times New Roman" w:hAnsi="Times New Roman" w:cs="Times New Roman"/>
            <w:b/>
            <w:bCs/>
            <w:color w:val="0000FF"/>
            <w:sz w:val="20"/>
            <w:szCs w:val="20"/>
            <w:u w:val="single"/>
          </w:rPr>
          <w:t>[6]</w:t>
        </w:r>
      </w:hyperlink>
      <w:bookmarkStart w:id="11" w:name="Document1zzF62022242875"/>
      <w:bookmarkEnd w:id="11"/>
      <w:r>
        <w:rPr>
          <w:rFonts w:ascii="Times New Roman" w:hAnsi="Times New Roman" w:cs="Times New Roman"/>
          <w:b/>
          <w:bCs/>
          <w:color w:val="000000"/>
          <w:sz w:val="20"/>
          <w:szCs w:val="20"/>
        </w:rPr>
        <w:t xml:space="preserve"> Statutes 361 </w:t>
      </w:r>
      <w:r>
        <w:rPr>
          <w:rFonts w:ascii="Times New Roman" w:hAnsi="Times New Roman" w:cs="Times New Roman"/>
          <w:b/>
          <w:bCs/>
          <w:noProof/>
          <w:color w:val="000000"/>
          <w:sz w:val="20"/>
          <w:szCs w:val="20"/>
        </w:rPr>
        <w:drawing>
          <wp:inline distT="0" distB="0" distL="0" distR="0">
            <wp:extent cx="252095" cy="1289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srcRect/>
                    <a:stretch>
                      <a:fillRect/>
                    </a:stretch>
                  </pic:blipFill>
                  <pic:spPr bwMode="auto">
                    <a:xfrm>
                      <a:off x="0" y="0"/>
                      <a:ext cx="25209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188</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60" w:history="1">
        <w:r>
          <w:rPr>
            <w:rFonts w:ascii="Times New Roman" w:hAnsi="Times New Roman" w:cs="Times New Roman"/>
            <w:color w:val="0000FF"/>
            <w:sz w:val="20"/>
            <w:szCs w:val="20"/>
            <w:u w:val="single"/>
          </w:rPr>
          <w:t>361</w:t>
        </w:r>
      </w:hyperlink>
      <w:r>
        <w:rPr>
          <w:rFonts w:ascii="Times New Roman" w:hAnsi="Times New Roman" w:cs="Times New Roman"/>
          <w:color w:val="000000"/>
          <w:sz w:val="20"/>
          <w:szCs w:val="20"/>
        </w:rPr>
        <w:t xml:space="preserve"> Statutes</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61" w:history="1">
        <w:r>
          <w:rPr>
            <w:rFonts w:ascii="Times New Roman" w:hAnsi="Times New Roman" w:cs="Times New Roman"/>
            <w:color w:val="0000FF"/>
            <w:sz w:val="20"/>
            <w:szCs w:val="20"/>
            <w:u w:val="single"/>
          </w:rPr>
          <w:t>361VI</w:t>
        </w:r>
      </w:hyperlink>
      <w:r>
        <w:rPr>
          <w:rFonts w:ascii="Times New Roman" w:hAnsi="Times New Roman" w:cs="Times New Roman"/>
          <w:color w:val="000000"/>
          <w:sz w:val="20"/>
          <w:szCs w:val="20"/>
        </w:rPr>
        <w:t xml:space="preserve"> Construction and Operation</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62" w:history="1">
        <w:r>
          <w:rPr>
            <w:rFonts w:ascii="Times New Roman" w:hAnsi="Times New Roman" w:cs="Times New Roman"/>
            <w:color w:val="0000FF"/>
            <w:sz w:val="20"/>
            <w:szCs w:val="20"/>
            <w:u w:val="single"/>
          </w:rPr>
          <w:t>361VI(A)</w:t>
        </w:r>
      </w:hyperlink>
      <w:r>
        <w:rPr>
          <w:rFonts w:ascii="Times New Roman" w:hAnsi="Times New Roman" w:cs="Times New Roman"/>
          <w:color w:val="000000"/>
          <w:sz w:val="20"/>
          <w:szCs w:val="20"/>
        </w:rPr>
        <w:t xml:space="preserve"> G</w:t>
      </w:r>
      <w:r>
        <w:rPr>
          <w:rFonts w:ascii="Times New Roman" w:hAnsi="Times New Roman" w:cs="Times New Roman"/>
          <w:color w:val="000000"/>
          <w:sz w:val="20"/>
          <w:szCs w:val="20"/>
        </w:rPr>
        <w:t>eneral Rules of Construction</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63" w:history="1">
        <w:r>
          <w:rPr>
            <w:rFonts w:ascii="Times New Roman" w:hAnsi="Times New Roman" w:cs="Times New Roman"/>
            <w:color w:val="0000FF"/>
            <w:sz w:val="20"/>
            <w:szCs w:val="20"/>
            <w:u w:val="single"/>
          </w:rPr>
          <w:t>361k187</w:t>
        </w:r>
      </w:hyperlink>
      <w:r>
        <w:rPr>
          <w:rFonts w:ascii="Times New Roman" w:hAnsi="Times New Roman" w:cs="Times New Roman"/>
          <w:color w:val="000000"/>
          <w:sz w:val="20"/>
          <w:szCs w:val="20"/>
        </w:rPr>
        <w:t xml:space="preserve"> Meaning of Language</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64" w:history="1">
        <w:r>
          <w:rPr>
            <w:rFonts w:ascii="Times New Roman" w:hAnsi="Times New Roman" w:cs="Times New Roman"/>
            <w:color w:val="0000FF"/>
            <w:sz w:val="20"/>
            <w:szCs w:val="20"/>
            <w:u w:val="single"/>
          </w:rPr>
          <w:t>361k188</w:t>
        </w:r>
      </w:hyperlink>
      <w:r>
        <w:rPr>
          <w:rFonts w:ascii="Times New Roman" w:hAnsi="Times New Roman" w:cs="Times New Roman"/>
          <w:color w:val="000000"/>
          <w:sz w:val="20"/>
          <w:szCs w:val="20"/>
        </w:rPr>
        <w:t xml:space="preserve"> k. In General. </w:t>
      </w:r>
      <w:hyperlink r:id="rId65" w:history="1">
        <w:r>
          <w:rPr>
            <w:rFonts w:ascii="Times New Roman" w:hAnsi="Times New Roman" w:cs="Times New Roman"/>
            <w:color w:val="0000FF"/>
            <w:sz w:val="20"/>
            <w:szCs w:val="20"/>
            <w:u w:val="single"/>
          </w:rPr>
          <w:t>Most Cited Cases</w:t>
        </w:r>
      </w:hyperlink>
      <w:r>
        <w:rPr>
          <w:rFonts w:ascii="Times New Roman" w:hAnsi="Times New Roman" w:cs="Times New Roman"/>
          <w:color w:val="000000"/>
          <w:sz w:val="20"/>
          <w:szCs w:val="20"/>
        </w:rPr>
        <w:t xml:space="preserve"> </w:t>
      </w:r>
      <w:bookmarkStart w:id="12" w:name="Document1zzI75e0f1d4734811df9b8c85033233"/>
      <w:bookmarkEnd w:id="12"/>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When terms used in a statute are undefined, the court gives them their ordinary meaning.</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B72022242875" w:history="1">
        <w:r>
          <w:rPr>
            <w:rFonts w:ascii="Times New Roman" w:hAnsi="Times New Roman" w:cs="Times New Roman"/>
            <w:b/>
            <w:bCs/>
            <w:color w:val="0000FF"/>
            <w:sz w:val="20"/>
            <w:szCs w:val="20"/>
            <w:u w:val="single"/>
          </w:rPr>
          <w:t>[7]</w:t>
        </w:r>
      </w:hyperlink>
      <w:bookmarkStart w:id="13" w:name="Document1zzF72022242875"/>
      <w:bookmarkEnd w:id="13"/>
      <w:r>
        <w:rPr>
          <w:rFonts w:ascii="Times New Roman" w:hAnsi="Times New Roman" w:cs="Times New Roman"/>
          <w:b/>
          <w:bCs/>
          <w:color w:val="000000"/>
          <w:sz w:val="20"/>
          <w:szCs w:val="20"/>
        </w:rPr>
        <w:t xml:space="preserve"> Statutes 361 </w:t>
      </w:r>
      <w:r>
        <w:rPr>
          <w:rFonts w:ascii="Times New Roman" w:hAnsi="Times New Roman" w:cs="Times New Roman"/>
          <w:b/>
          <w:bCs/>
          <w:noProof/>
          <w:color w:val="000000"/>
          <w:sz w:val="20"/>
          <w:szCs w:val="20"/>
        </w:rPr>
        <w:drawing>
          <wp:inline distT="0" distB="0" distL="0" distR="0">
            <wp:extent cx="252095" cy="1289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srcRect/>
                    <a:stretch>
                      <a:fillRect/>
                    </a:stretch>
                  </pic:blipFill>
                  <pic:spPr bwMode="auto">
                    <a:xfrm>
                      <a:off x="0" y="0"/>
                      <a:ext cx="25209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199</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66" w:history="1">
        <w:r>
          <w:rPr>
            <w:rFonts w:ascii="Times New Roman" w:hAnsi="Times New Roman" w:cs="Times New Roman"/>
            <w:color w:val="0000FF"/>
            <w:sz w:val="20"/>
            <w:szCs w:val="20"/>
            <w:u w:val="single"/>
          </w:rPr>
          <w:t>361</w:t>
        </w:r>
      </w:hyperlink>
      <w:r>
        <w:rPr>
          <w:rFonts w:ascii="Times New Roman" w:hAnsi="Times New Roman" w:cs="Times New Roman"/>
          <w:color w:val="000000"/>
          <w:sz w:val="20"/>
          <w:szCs w:val="20"/>
        </w:rPr>
        <w:t xml:space="preserve"> Statutes</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lastRenderedPageBreak/>
        <w:t xml:space="preserve">      </w:t>
      </w:r>
      <w:hyperlink r:id="rId67" w:history="1">
        <w:r>
          <w:rPr>
            <w:rFonts w:ascii="Times New Roman" w:hAnsi="Times New Roman" w:cs="Times New Roman"/>
            <w:color w:val="0000FF"/>
            <w:sz w:val="20"/>
            <w:szCs w:val="20"/>
            <w:u w:val="single"/>
          </w:rPr>
          <w:t>361VI</w:t>
        </w:r>
      </w:hyperlink>
      <w:r>
        <w:rPr>
          <w:rFonts w:ascii="Times New Roman" w:hAnsi="Times New Roman" w:cs="Times New Roman"/>
          <w:color w:val="000000"/>
          <w:sz w:val="20"/>
          <w:szCs w:val="20"/>
        </w:rPr>
        <w:t xml:space="preserve"> Construction and Operation</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68" w:history="1">
        <w:r>
          <w:rPr>
            <w:rFonts w:ascii="Times New Roman" w:hAnsi="Times New Roman" w:cs="Times New Roman"/>
            <w:color w:val="0000FF"/>
            <w:sz w:val="20"/>
            <w:szCs w:val="20"/>
            <w:u w:val="single"/>
          </w:rPr>
          <w:t>361VI(A)</w:t>
        </w:r>
      </w:hyperlink>
      <w:r>
        <w:rPr>
          <w:rFonts w:ascii="Times New Roman" w:hAnsi="Times New Roman" w:cs="Times New Roman"/>
          <w:color w:val="000000"/>
          <w:sz w:val="20"/>
          <w:szCs w:val="20"/>
        </w:rPr>
        <w:t xml:space="preserve"> General Rules of Construction</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69" w:history="1">
        <w:r>
          <w:rPr>
            <w:rFonts w:ascii="Times New Roman" w:hAnsi="Times New Roman" w:cs="Times New Roman"/>
            <w:color w:val="0000FF"/>
            <w:sz w:val="20"/>
            <w:szCs w:val="20"/>
            <w:u w:val="single"/>
          </w:rPr>
          <w:t>3</w:t>
        </w:r>
        <w:r>
          <w:rPr>
            <w:rFonts w:ascii="Times New Roman" w:hAnsi="Times New Roman" w:cs="Times New Roman"/>
            <w:color w:val="0000FF"/>
            <w:sz w:val="20"/>
            <w:szCs w:val="20"/>
            <w:u w:val="single"/>
          </w:rPr>
          <w:t>61k187</w:t>
        </w:r>
      </w:hyperlink>
      <w:r>
        <w:rPr>
          <w:rFonts w:ascii="Times New Roman" w:hAnsi="Times New Roman" w:cs="Times New Roman"/>
          <w:color w:val="000000"/>
          <w:sz w:val="20"/>
          <w:szCs w:val="20"/>
        </w:rPr>
        <w:t xml:space="preserve"> Meaning of Language</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70" w:history="1">
        <w:r>
          <w:rPr>
            <w:rFonts w:ascii="Times New Roman" w:hAnsi="Times New Roman" w:cs="Times New Roman"/>
            <w:color w:val="0000FF"/>
            <w:sz w:val="20"/>
            <w:szCs w:val="20"/>
            <w:u w:val="single"/>
          </w:rPr>
          <w:t>361k199</w:t>
        </w:r>
      </w:hyperlink>
      <w:r>
        <w:rPr>
          <w:rFonts w:ascii="Times New Roman" w:hAnsi="Times New Roman" w:cs="Times New Roman"/>
          <w:color w:val="000000"/>
          <w:sz w:val="20"/>
          <w:szCs w:val="20"/>
        </w:rPr>
        <w:t xml:space="preserve"> k. Particular Words and Phrases. </w:t>
      </w:r>
      <w:hyperlink r:id="rId71" w:history="1">
        <w:r>
          <w:rPr>
            <w:rFonts w:ascii="Times New Roman" w:hAnsi="Times New Roman" w:cs="Times New Roman"/>
            <w:color w:val="0000FF"/>
            <w:sz w:val="20"/>
            <w:szCs w:val="20"/>
            <w:u w:val="single"/>
          </w:rPr>
          <w:t>Most Cited Cases</w:t>
        </w:r>
      </w:hyperlink>
      <w:r>
        <w:rPr>
          <w:rFonts w:ascii="Times New Roman" w:hAnsi="Times New Roman" w:cs="Times New Roman"/>
          <w:color w:val="000000"/>
          <w:sz w:val="20"/>
          <w:szCs w:val="20"/>
        </w:rPr>
        <w:t xml:space="preserve"> </w:t>
      </w:r>
      <w:bookmarkStart w:id="14" w:name="Document1zzI75e0f1d6734811df9b8c85033233"/>
      <w:bookmarkEnd w:id="14"/>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When, in a statute, Congress wishes to mandate simple multiplication, it does so unambiguously, most commonly by using</w:t>
      </w:r>
      <w:r>
        <w:rPr>
          <w:rFonts w:ascii="Times New Roman" w:hAnsi="Times New Roman" w:cs="Times New Roman"/>
          <w:color w:val="000000"/>
          <w:sz w:val="20"/>
          <w:szCs w:val="20"/>
        </w:rPr>
        <w:t xml:space="preserve"> the term </w:t>
      </w:r>
      <w:r>
        <w:rPr>
          <w:rFonts w:ascii="Times New Roman" w:hAnsi="Times New Roman" w:cs="Times New Roman"/>
          <w:color w:val="000000"/>
          <w:sz w:val="20"/>
          <w:szCs w:val="20"/>
        </w:rPr>
        <w:t>“</w:t>
      </w:r>
      <w:r>
        <w:rPr>
          <w:rFonts w:ascii="Times New Roman" w:hAnsi="Times New Roman" w:cs="Times New Roman"/>
          <w:color w:val="000000"/>
          <w:sz w:val="20"/>
          <w:szCs w:val="20"/>
        </w:rPr>
        <w:t>multiplied.</w:t>
      </w:r>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B82022242875" w:history="1">
        <w:r>
          <w:rPr>
            <w:rFonts w:ascii="Times New Roman" w:hAnsi="Times New Roman" w:cs="Times New Roman"/>
            <w:b/>
            <w:bCs/>
            <w:color w:val="0000FF"/>
            <w:sz w:val="20"/>
            <w:szCs w:val="20"/>
            <w:u w:val="single"/>
          </w:rPr>
          <w:t>[8]</w:t>
        </w:r>
      </w:hyperlink>
      <w:bookmarkStart w:id="15" w:name="Document1zzF82022242875"/>
      <w:bookmarkEnd w:id="15"/>
      <w:r>
        <w:rPr>
          <w:rFonts w:ascii="Times New Roman" w:hAnsi="Times New Roman" w:cs="Times New Roman"/>
          <w:b/>
          <w:bCs/>
          <w:color w:val="000000"/>
          <w:sz w:val="20"/>
          <w:szCs w:val="20"/>
        </w:rPr>
        <w:t xml:space="preserve"> Bankruptcy 51 </w:t>
      </w:r>
      <w:r>
        <w:rPr>
          <w:rFonts w:ascii="Times New Roman" w:hAnsi="Times New Roman" w:cs="Times New Roman"/>
          <w:b/>
          <w:bCs/>
          <w:noProof/>
          <w:color w:val="000000"/>
          <w:sz w:val="20"/>
          <w:szCs w:val="20"/>
        </w:rPr>
        <w:drawing>
          <wp:inline distT="0" distB="0" distL="0" distR="0">
            <wp:extent cx="252095" cy="1289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srcRect/>
                    <a:stretch>
                      <a:fillRect/>
                    </a:stretch>
                  </pic:blipFill>
                  <pic:spPr bwMode="auto">
                    <a:xfrm>
                      <a:off x="0" y="0"/>
                      <a:ext cx="25209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2021.1</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72" w:history="1">
        <w:r>
          <w:rPr>
            <w:rFonts w:ascii="Times New Roman" w:hAnsi="Times New Roman" w:cs="Times New Roman"/>
            <w:color w:val="0000FF"/>
            <w:sz w:val="20"/>
            <w:szCs w:val="20"/>
            <w:u w:val="single"/>
          </w:rPr>
          <w:t>51</w:t>
        </w:r>
      </w:hyperlink>
      <w:r>
        <w:rPr>
          <w:rFonts w:ascii="Times New Roman" w:hAnsi="Times New Roman" w:cs="Times New Roman"/>
          <w:color w:val="000000"/>
          <w:sz w:val="20"/>
          <w:szCs w:val="20"/>
        </w:rPr>
        <w:t xml:space="preserve"> Bankruptcy</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73" w:history="1">
        <w:r>
          <w:rPr>
            <w:rFonts w:ascii="Times New Roman" w:hAnsi="Times New Roman" w:cs="Times New Roman"/>
            <w:color w:val="0000FF"/>
            <w:sz w:val="20"/>
            <w:szCs w:val="20"/>
            <w:u w:val="single"/>
          </w:rPr>
          <w:t>51I</w:t>
        </w:r>
      </w:hyperlink>
      <w:r>
        <w:rPr>
          <w:rFonts w:ascii="Times New Roman" w:hAnsi="Times New Roman" w:cs="Times New Roman"/>
          <w:color w:val="000000"/>
          <w:sz w:val="20"/>
          <w:szCs w:val="20"/>
        </w:rPr>
        <w:t xml:space="preserve"> In General</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74" w:history="1">
        <w:r>
          <w:rPr>
            <w:rFonts w:ascii="Times New Roman" w:hAnsi="Times New Roman" w:cs="Times New Roman"/>
            <w:color w:val="0000FF"/>
            <w:sz w:val="20"/>
            <w:szCs w:val="20"/>
            <w:u w:val="single"/>
          </w:rPr>
          <w:t>51I(B)</w:t>
        </w:r>
      </w:hyperlink>
      <w:r>
        <w:rPr>
          <w:rFonts w:ascii="Times New Roman" w:hAnsi="Times New Roman" w:cs="Times New Roman"/>
          <w:color w:val="000000"/>
          <w:sz w:val="20"/>
          <w:szCs w:val="20"/>
        </w:rPr>
        <w:t xml:space="preserve"> Constitutional and Statutory Provisions</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75" w:history="1">
        <w:r>
          <w:rPr>
            <w:rFonts w:ascii="Times New Roman" w:hAnsi="Times New Roman" w:cs="Times New Roman"/>
            <w:color w:val="0000FF"/>
            <w:sz w:val="20"/>
            <w:szCs w:val="20"/>
            <w:u w:val="single"/>
          </w:rPr>
          <w:t>51k2021</w:t>
        </w:r>
      </w:hyperlink>
      <w:r>
        <w:rPr>
          <w:rFonts w:ascii="Times New Roman" w:hAnsi="Times New Roman" w:cs="Times New Roman"/>
          <w:color w:val="000000"/>
          <w:sz w:val="20"/>
          <w:szCs w:val="20"/>
        </w:rPr>
        <w:t xml:space="preserve"> Cons</w:t>
      </w:r>
      <w:r>
        <w:rPr>
          <w:rFonts w:ascii="Times New Roman" w:hAnsi="Times New Roman" w:cs="Times New Roman"/>
          <w:color w:val="000000"/>
          <w:sz w:val="20"/>
          <w:szCs w:val="20"/>
        </w:rPr>
        <w:t>truction and Operation</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76" w:history="1">
        <w:r>
          <w:rPr>
            <w:rFonts w:ascii="Times New Roman" w:hAnsi="Times New Roman" w:cs="Times New Roman"/>
            <w:color w:val="0000FF"/>
            <w:sz w:val="20"/>
            <w:szCs w:val="20"/>
            <w:u w:val="single"/>
          </w:rPr>
          <w:t>51k2021.1</w:t>
        </w:r>
      </w:hyperlink>
      <w:r>
        <w:rPr>
          <w:rFonts w:ascii="Times New Roman" w:hAnsi="Times New Roman" w:cs="Times New Roman"/>
          <w:color w:val="000000"/>
          <w:sz w:val="20"/>
          <w:szCs w:val="20"/>
        </w:rPr>
        <w:t xml:space="preserve"> k. In General. </w:t>
      </w:r>
      <w:hyperlink r:id="rId77" w:history="1">
        <w:r>
          <w:rPr>
            <w:rFonts w:ascii="Times New Roman" w:hAnsi="Times New Roman" w:cs="Times New Roman"/>
            <w:color w:val="0000FF"/>
            <w:sz w:val="20"/>
            <w:szCs w:val="20"/>
            <w:u w:val="single"/>
          </w:rPr>
          <w:t>Most Cited Cases</w:t>
        </w:r>
      </w:hyperlink>
      <w:r>
        <w:rPr>
          <w:rFonts w:ascii="Times New Roman" w:hAnsi="Times New Roman" w:cs="Times New Roman"/>
          <w:color w:val="000000"/>
          <w:sz w:val="20"/>
          <w:szCs w:val="20"/>
        </w:rPr>
        <w:t xml:space="preserve"> </w:t>
      </w:r>
      <w:bookmarkStart w:id="16" w:name="Document1zzI75e0f1d8734811df9b8c85033233"/>
      <w:bookmarkEnd w:id="16"/>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Courts will not read the Bankruptcy Code to erode past bankruptcy practice absent a clear indication that Congress intended such a depart</w:t>
      </w:r>
      <w:r>
        <w:rPr>
          <w:rFonts w:ascii="Times New Roman" w:hAnsi="Times New Roman" w:cs="Times New Roman"/>
          <w:color w:val="000000"/>
          <w:sz w:val="20"/>
          <w:szCs w:val="20"/>
        </w:rPr>
        <w:t>ure.</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B92022242875" w:history="1">
        <w:r>
          <w:rPr>
            <w:rFonts w:ascii="Times New Roman" w:hAnsi="Times New Roman" w:cs="Times New Roman"/>
            <w:b/>
            <w:bCs/>
            <w:color w:val="0000FF"/>
            <w:sz w:val="20"/>
            <w:szCs w:val="20"/>
            <w:u w:val="single"/>
          </w:rPr>
          <w:t>[9]</w:t>
        </w:r>
      </w:hyperlink>
      <w:bookmarkStart w:id="17" w:name="Document1zzF92022242875"/>
      <w:bookmarkEnd w:id="17"/>
      <w:r>
        <w:rPr>
          <w:rFonts w:ascii="Times New Roman" w:hAnsi="Times New Roman" w:cs="Times New Roman"/>
          <w:b/>
          <w:bCs/>
          <w:color w:val="000000"/>
          <w:sz w:val="20"/>
          <w:szCs w:val="20"/>
        </w:rPr>
        <w:t xml:space="preserve"> Bankruptcy 51 </w:t>
      </w:r>
      <w:r>
        <w:rPr>
          <w:rFonts w:ascii="Times New Roman" w:hAnsi="Times New Roman" w:cs="Times New Roman"/>
          <w:b/>
          <w:bCs/>
          <w:noProof/>
          <w:color w:val="000000"/>
          <w:sz w:val="20"/>
          <w:szCs w:val="20"/>
        </w:rPr>
        <w:drawing>
          <wp:inline distT="0" distB="0" distL="0" distR="0">
            <wp:extent cx="252095" cy="1289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25209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3715(10)</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78" w:history="1">
        <w:r>
          <w:rPr>
            <w:rFonts w:ascii="Times New Roman" w:hAnsi="Times New Roman" w:cs="Times New Roman"/>
            <w:color w:val="0000FF"/>
            <w:sz w:val="20"/>
            <w:szCs w:val="20"/>
            <w:u w:val="single"/>
          </w:rPr>
          <w:t>51</w:t>
        </w:r>
      </w:hyperlink>
      <w:r>
        <w:rPr>
          <w:rFonts w:ascii="Times New Roman" w:hAnsi="Times New Roman" w:cs="Times New Roman"/>
          <w:color w:val="000000"/>
          <w:sz w:val="20"/>
          <w:szCs w:val="20"/>
        </w:rPr>
        <w:t xml:space="preserve"> Bankruptcy</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79" w:history="1">
        <w:r>
          <w:rPr>
            <w:rFonts w:ascii="Times New Roman" w:hAnsi="Times New Roman" w:cs="Times New Roman"/>
            <w:color w:val="0000FF"/>
            <w:sz w:val="20"/>
            <w:szCs w:val="20"/>
            <w:u w:val="single"/>
          </w:rPr>
          <w:t>51XVIII</w:t>
        </w:r>
      </w:hyperlink>
      <w:r>
        <w:rPr>
          <w:rFonts w:ascii="Times New Roman" w:hAnsi="Times New Roman" w:cs="Times New Roman"/>
          <w:color w:val="000000"/>
          <w:sz w:val="20"/>
          <w:szCs w:val="20"/>
        </w:rPr>
        <w:t xml:space="preserve"> Individual Debt Adjustment</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80" w:history="1">
        <w:r>
          <w:rPr>
            <w:rFonts w:ascii="Times New Roman" w:hAnsi="Times New Roman" w:cs="Times New Roman"/>
            <w:color w:val="0000FF"/>
            <w:sz w:val="20"/>
            <w:szCs w:val="20"/>
            <w:u w:val="single"/>
          </w:rPr>
          <w:t>51k3704</w:t>
        </w:r>
      </w:hyperlink>
      <w:r>
        <w:rPr>
          <w:rFonts w:ascii="Times New Roman" w:hAnsi="Times New Roman" w:cs="Times New Roman"/>
          <w:color w:val="000000"/>
          <w:sz w:val="20"/>
          <w:szCs w:val="20"/>
        </w:rPr>
        <w:t xml:space="preserve"> Plan</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81" w:history="1">
        <w:r>
          <w:rPr>
            <w:rFonts w:ascii="Times New Roman" w:hAnsi="Times New Roman" w:cs="Times New Roman"/>
            <w:color w:val="0000FF"/>
            <w:sz w:val="20"/>
            <w:szCs w:val="20"/>
            <w:u w:val="single"/>
          </w:rPr>
          <w:t>51k3715</w:t>
        </w:r>
      </w:hyperlink>
      <w:r>
        <w:rPr>
          <w:rFonts w:ascii="Times New Roman" w:hAnsi="Times New Roman" w:cs="Times New Roman"/>
          <w:color w:val="000000"/>
          <w:sz w:val="20"/>
          <w:szCs w:val="20"/>
        </w:rPr>
        <w:t xml:space="preserve"> Acceptance and Confirmation</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82" w:history="1">
        <w:r>
          <w:rPr>
            <w:rFonts w:ascii="Times New Roman" w:hAnsi="Times New Roman" w:cs="Times New Roman"/>
            <w:color w:val="0000FF"/>
            <w:sz w:val="20"/>
            <w:szCs w:val="20"/>
            <w:u w:val="single"/>
          </w:rPr>
          <w:t>51k3715(9)</w:t>
        </w:r>
      </w:hyperlink>
      <w:r>
        <w:rPr>
          <w:rFonts w:ascii="Times New Roman" w:hAnsi="Times New Roman" w:cs="Times New Roman"/>
          <w:color w:val="000000"/>
          <w:sz w:val="20"/>
          <w:szCs w:val="20"/>
        </w:rPr>
        <w:t xml:space="preserve"> Effect</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83" w:history="1">
        <w:r>
          <w:rPr>
            <w:rFonts w:ascii="Times New Roman" w:hAnsi="Times New Roman" w:cs="Times New Roman"/>
            <w:color w:val="0000FF"/>
            <w:sz w:val="20"/>
            <w:szCs w:val="20"/>
            <w:u w:val="single"/>
          </w:rPr>
          <w:t>51k3715(10)</w:t>
        </w:r>
      </w:hyperlink>
      <w:r>
        <w:rPr>
          <w:rFonts w:ascii="Times New Roman" w:hAnsi="Times New Roman" w:cs="Times New Roman"/>
          <w:color w:val="000000"/>
          <w:sz w:val="20"/>
          <w:szCs w:val="20"/>
        </w:rPr>
        <w:t xml:space="preserve"> k. Conclusiveness; Res Judicata; Collateral Estopp</w:t>
      </w:r>
      <w:r>
        <w:rPr>
          <w:rFonts w:ascii="Times New Roman" w:hAnsi="Times New Roman" w:cs="Times New Roman"/>
          <w:color w:val="000000"/>
          <w:sz w:val="20"/>
          <w:szCs w:val="20"/>
        </w:rPr>
        <w:t xml:space="preserve">el. </w:t>
      </w:r>
      <w:hyperlink r:id="rId84" w:history="1">
        <w:r>
          <w:rPr>
            <w:rFonts w:ascii="Times New Roman" w:hAnsi="Times New Roman" w:cs="Times New Roman"/>
            <w:color w:val="0000FF"/>
            <w:sz w:val="20"/>
            <w:szCs w:val="20"/>
            <w:u w:val="single"/>
          </w:rPr>
          <w:t>Most Cited Cases</w:t>
        </w:r>
      </w:hyperlink>
      <w:r>
        <w:rPr>
          <w:rFonts w:ascii="Times New Roman" w:hAnsi="Times New Roman" w:cs="Times New Roman"/>
          <w:color w:val="000000"/>
          <w:sz w:val="20"/>
          <w:szCs w:val="20"/>
        </w:rPr>
        <w:t xml:space="preserve"> </w:t>
      </w:r>
      <w:bookmarkStart w:id="18" w:name="Document1zzI75e0f1da734811df9b8c85033233"/>
      <w:bookmarkEnd w:id="18"/>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w:t>
      </w:r>
      <w:r>
        <w:rPr>
          <w:rFonts w:ascii="Times New Roman" w:hAnsi="Times New Roman" w:cs="Times New Roman"/>
          <w:color w:val="000000"/>
          <w:sz w:val="20"/>
          <w:szCs w:val="20"/>
        </w:rPr>
        <w:t>Effective date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of a Chapter 13 plan is t</w:t>
      </w:r>
      <w:r>
        <w:rPr>
          <w:rFonts w:ascii="Times New Roman" w:hAnsi="Times New Roman" w:cs="Times New Roman"/>
          <w:color w:val="000000"/>
          <w:sz w:val="20"/>
          <w:szCs w:val="20"/>
        </w:rPr>
        <w:t xml:space="preserve">he date on which the plan is confirmed and becomes binding. </w:t>
      </w:r>
      <w:hyperlink r:id="rId85" w:history="1">
        <w:r>
          <w:rPr>
            <w:rFonts w:ascii="Times New Roman" w:hAnsi="Times New Roman" w:cs="Times New Roman"/>
            <w:color w:val="0000FF"/>
            <w:sz w:val="20"/>
            <w:szCs w:val="20"/>
            <w:u w:val="single"/>
          </w:rPr>
          <w:t>11 U.S.C.A. § 1327(a)</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B102022242875" w:history="1">
        <w:r>
          <w:rPr>
            <w:rFonts w:ascii="Times New Roman" w:hAnsi="Times New Roman" w:cs="Times New Roman"/>
            <w:b/>
            <w:bCs/>
            <w:color w:val="0000FF"/>
            <w:sz w:val="20"/>
            <w:szCs w:val="20"/>
            <w:u w:val="single"/>
          </w:rPr>
          <w:t>[10]</w:t>
        </w:r>
      </w:hyperlink>
      <w:bookmarkStart w:id="19" w:name="Document1zzF102022242875"/>
      <w:bookmarkEnd w:id="19"/>
      <w:r>
        <w:rPr>
          <w:rFonts w:ascii="Times New Roman" w:hAnsi="Times New Roman" w:cs="Times New Roman"/>
          <w:b/>
          <w:bCs/>
          <w:color w:val="000000"/>
          <w:sz w:val="20"/>
          <w:szCs w:val="20"/>
        </w:rPr>
        <w:t xml:space="preserve"> Bankruptcy 51 </w:t>
      </w:r>
      <w:r>
        <w:rPr>
          <w:rFonts w:ascii="Times New Roman" w:hAnsi="Times New Roman" w:cs="Times New Roman"/>
          <w:b/>
          <w:bCs/>
          <w:noProof/>
          <w:color w:val="000000"/>
          <w:sz w:val="20"/>
          <w:szCs w:val="20"/>
        </w:rPr>
        <w:drawing>
          <wp:inline distT="0" distB="0" distL="0" distR="0">
            <wp:extent cx="252095" cy="1289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srcRect/>
                    <a:stretch>
                      <a:fillRect/>
                    </a:stretch>
                  </pic:blipFill>
                  <pic:spPr bwMode="auto">
                    <a:xfrm>
                      <a:off x="0" y="0"/>
                      <a:ext cx="25209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3705</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86" w:history="1">
        <w:r>
          <w:rPr>
            <w:rFonts w:ascii="Times New Roman" w:hAnsi="Times New Roman" w:cs="Times New Roman"/>
            <w:color w:val="0000FF"/>
            <w:sz w:val="20"/>
            <w:szCs w:val="20"/>
            <w:u w:val="single"/>
          </w:rPr>
          <w:t>51</w:t>
        </w:r>
      </w:hyperlink>
      <w:r>
        <w:rPr>
          <w:rFonts w:ascii="Times New Roman" w:hAnsi="Times New Roman" w:cs="Times New Roman"/>
          <w:color w:val="000000"/>
          <w:sz w:val="20"/>
          <w:szCs w:val="20"/>
        </w:rPr>
        <w:t xml:space="preserve"> Bankruptcy</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87" w:history="1">
        <w:r>
          <w:rPr>
            <w:rFonts w:ascii="Times New Roman" w:hAnsi="Times New Roman" w:cs="Times New Roman"/>
            <w:color w:val="0000FF"/>
            <w:sz w:val="20"/>
            <w:szCs w:val="20"/>
            <w:u w:val="single"/>
          </w:rPr>
          <w:t>51XVI</w:t>
        </w:r>
        <w:r>
          <w:rPr>
            <w:rFonts w:ascii="Times New Roman" w:hAnsi="Times New Roman" w:cs="Times New Roman"/>
            <w:color w:val="0000FF"/>
            <w:sz w:val="20"/>
            <w:szCs w:val="20"/>
            <w:u w:val="single"/>
          </w:rPr>
          <w:t>II</w:t>
        </w:r>
      </w:hyperlink>
      <w:r>
        <w:rPr>
          <w:rFonts w:ascii="Times New Roman" w:hAnsi="Times New Roman" w:cs="Times New Roman"/>
          <w:color w:val="000000"/>
          <w:sz w:val="20"/>
          <w:szCs w:val="20"/>
        </w:rPr>
        <w:t xml:space="preserve"> Individual Debt Adjustment</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88" w:history="1">
        <w:r>
          <w:rPr>
            <w:rFonts w:ascii="Times New Roman" w:hAnsi="Times New Roman" w:cs="Times New Roman"/>
            <w:color w:val="0000FF"/>
            <w:sz w:val="20"/>
            <w:szCs w:val="20"/>
            <w:u w:val="single"/>
          </w:rPr>
          <w:t>51k3704</w:t>
        </w:r>
      </w:hyperlink>
      <w:r>
        <w:rPr>
          <w:rFonts w:ascii="Times New Roman" w:hAnsi="Times New Roman" w:cs="Times New Roman"/>
          <w:color w:val="000000"/>
          <w:sz w:val="20"/>
          <w:szCs w:val="20"/>
        </w:rPr>
        <w:t xml:space="preserve"> Plan</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89" w:history="1">
        <w:r>
          <w:rPr>
            <w:rFonts w:ascii="Times New Roman" w:hAnsi="Times New Roman" w:cs="Times New Roman"/>
            <w:color w:val="0000FF"/>
            <w:sz w:val="20"/>
            <w:szCs w:val="20"/>
            <w:u w:val="single"/>
          </w:rPr>
          <w:t>51k3705</w:t>
        </w:r>
      </w:hyperlink>
      <w:r>
        <w:rPr>
          <w:rFonts w:ascii="Times New Roman" w:hAnsi="Times New Roman" w:cs="Times New Roman"/>
          <w:color w:val="000000"/>
          <w:sz w:val="20"/>
          <w:szCs w:val="20"/>
        </w:rPr>
        <w:t xml:space="preserve"> k. Claims and Assets; Propriety and Feasibility in General. </w:t>
      </w:r>
      <w:hyperlink r:id="rId90" w:history="1">
        <w:r>
          <w:rPr>
            <w:rFonts w:ascii="Times New Roman" w:hAnsi="Times New Roman" w:cs="Times New Roman"/>
            <w:color w:val="0000FF"/>
            <w:sz w:val="20"/>
            <w:szCs w:val="20"/>
            <w:u w:val="single"/>
          </w:rPr>
          <w:t>Most Cited Cases</w:t>
        </w:r>
      </w:hyperlink>
      <w:r>
        <w:rPr>
          <w:rFonts w:ascii="Times New Roman" w:hAnsi="Times New Roman" w:cs="Times New Roman"/>
          <w:color w:val="000000"/>
          <w:sz w:val="20"/>
          <w:szCs w:val="20"/>
        </w:rPr>
        <w:t xml:space="preserve"> </w:t>
      </w:r>
      <w:bookmarkStart w:id="20" w:name="Document1zzI75e0f1dc734811df9b8c85033233"/>
      <w:bookmarkEnd w:id="20"/>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Court taking the proper, forward-looking approach to determining a Chapter 13 debtor's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w:t>
      </w:r>
      <w:r>
        <w:rPr>
          <w:rFonts w:ascii="Times New Roman" w:hAnsi="Times New Roman" w:cs="Times New Roman"/>
          <w:color w:val="000000"/>
          <w:sz w:val="20"/>
          <w:szCs w:val="20"/>
        </w:rPr>
        <w:t>s</w:t>
      </w:r>
      <w:r>
        <w:rPr>
          <w:rFonts w:ascii="Times New Roman" w:hAnsi="Times New Roman" w:cs="Times New Roman"/>
          <w:color w:val="000000"/>
          <w:sz w:val="20"/>
          <w:szCs w:val="20"/>
        </w:rPr>
        <w:t>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should begin by calcula</w:t>
      </w:r>
      <w:r>
        <w:rPr>
          <w:rFonts w:ascii="Times New Roman" w:hAnsi="Times New Roman" w:cs="Times New Roman"/>
          <w:color w:val="000000"/>
          <w:sz w:val="20"/>
          <w:szCs w:val="20"/>
        </w:rPr>
        <w:t>t</w:t>
      </w:r>
      <w:r>
        <w:rPr>
          <w:rFonts w:ascii="Times New Roman" w:hAnsi="Times New Roman" w:cs="Times New Roman"/>
          <w:color w:val="000000"/>
          <w:sz w:val="20"/>
          <w:szCs w:val="20"/>
        </w:rPr>
        <w:t>ing disposable income, and in most cases, nothing more is required; it is only in unu</w:t>
      </w:r>
      <w:r>
        <w:rPr>
          <w:rFonts w:ascii="Times New Roman" w:hAnsi="Times New Roman" w:cs="Times New Roman"/>
          <w:color w:val="000000"/>
          <w:sz w:val="20"/>
          <w:szCs w:val="20"/>
        </w:rPr>
        <w:t>sual cases that a court may go further and take into account other known or virtually certain information about the debtor's future income or e</w:t>
      </w:r>
      <w:r>
        <w:rPr>
          <w:rFonts w:ascii="Times New Roman" w:hAnsi="Times New Roman" w:cs="Times New Roman"/>
          <w:color w:val="000000"/>
          <w:sz w:val="20"/>
          <w:szCs w:val="20"/>
        </w:rPr>
        <w:t>x</w:t>
      </w:r>
      <w:r>
        <w:rPr>
          <w:rFonts w:ascii="Times New Roman" w:hAnsi="Times New Roman" w:cs="Times New Roman"/>
          <w:color w:val="000000"/>
          <w:sz w:val="20"/>
          <w:szCs w:val="20"/>
        </w:rPr>
        <w:t xml:space="preserve">penses. </w:t>
      </w:r>
      <w:hyperlink r:id="rId91" w:history="1">
        <w:r>
          <w:rPr>
            <w:rFonts w:ascii="Times New Roman" w:hAnsi="Times New Roman" w:cs="Times New Roman"/>
            <w:color w:val="0000FF"/>
            <w:sz w:val="20"/>
            <w:szCs w:val="20"/>
            <w:u w:val="single"/>
          </w:rPr>
          <w:t>11 U.S.C.A. § 1325(b)(1)(B)</w:t>
        </w:r>
      </w:hyperlink>
      <w:r>
        <w:rPr>
          <w:rFonts w:ascii="Times New Roman" w:hAnsi="Times New Roman" w:cs="Times New Roman"/>
          <w:color w:val="000000"/>
          <w:sz w:val="20"/>
          <w:szCs w:val="20"/>
        </w:rPr>
        <w:t xml:space="preserve">, </w:t>
      </w:r>
      <w:hyperlink r:id="rId92" w:history="1">
        <w:r>
          <w:rPr>
            <w:rFonts w:ascii="Times New Roman" w:hAnsi="Times New Roman" w:cs="Times New Roman"/>
            <w:color w:val="0000FF"/>
            <w:sz w:val="20"/>
            <w:szCs w:val="20"/>
            <w:u w:val="single"/>
          </w:rPr>
          <w:t>(b)(2)</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B112022242875" w:history="1">
        <w:r>
          <w:rPr>
            <w:rFonts w:ascii="Times New Roman" w:hAnsi="Times New Roman" w:cs="Times New Roman"/>
            <w:b/>
            <w:bCs/>
            <w:color w:val="0000FF"/>
            <w:sz w:val="20"/>
            <w:szCs w:val="20"/>
            <w:u w:val="single"/>
          </w:rPr>
          <w:t>[11]</w:t>
        </w:r>
      </w:hyperlink>
      <w:bookmarkStart w:id="21" w:name="Document1zzF112022242875"/>
      <w:bookmarkEnd w:id="21"/>
      <w:r>
        <w:rPr>
          <w:rFonts w:ascii="Times New Roman" w:hAnsi="Times New Roman" w:cs="Times New Roman"/>
          <w:b/>
          <w:bCs/>
          <w:color w:val="000000"/>
          <w:sz w:val="20"/>
          <w:szCs w:val="20"/>
        </w:rPr>
        <w:t xml:space="preserve"> Bankruptcy 51 </w:t>
      </w:r>
      <w:r>
        <w:rPr>
          <w:rFonts w:ascii="Times New Roman" w:hAnsi="Times New Roman" w:cs="Times New Roman"/>
          <w:b/>
          <w:bCs/>
          <w:noProof/>
          <w:color w:val="000000"/>
          <w:sz w:val="20"/>
          <w:szCs w:val="20"/>
        </w:rPr>
        <w:drawing>
          <wp:inline distT="0" distB="0" distL="0" distR="0">
            <wp:extent cx="252095" cy="1289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srcRect/>
                    <a:stretch>
                      <a:fillRect/>
                    </a:stretch>
                  </pic:blipFill>
                  <pic:spPr bwMode="auto">
                    <a:xfrm>
                      <a:off x="0" y="0"/>
                      <a:ext cx="25209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3705</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93" w:history="1">
        <w:r>
          <w:rPr>
            <w:rFonts w:ascii="Times New Roman" w:hAnsi="Times New Roman" w:cs="Times New Roman"/>
            <w:color w:val="0000FF"/>
            <w:sz w:val="20"/>
            <w:szCs w:val="20"/>
            <w:u w:val="single"/>
          </w:rPr>
          <w:t>51</w:t>
        </w:r>
      </w:hyperlink>
      <w:r>
        <w:rPr>
          <w:rFonts w:ascii="Times New Roman" w:hAnsi="Times New Roman" w:cs="Times New Roman"/>
          <w:color w:val="000000"/>
          <w:sz w:val="20"/>
          <w:szCs w:val="20"/>
        </w:rPr>
        <w:t xml:space="preserve"> Bankruptcy</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94" w:history="1">
        <w:r>
          <w:rPr>
            <w:rFonts w:ascii="Times New Roman" w:hAnsi="Times New Roman" w:cs="Times New Roman"/>
            <w:color w:val="0000FF"/>
            <w:sz w:val="20"/>
            <w:szCs w:val="20"/>
            <w:u w:val="single"/>
          </w:rPr>
          <w:t>51XVIII</w:t>
        </w:r>
      </w:hyperlink>
      <w:r>
        <w:rPr>
          <w:rFonts w:ascii="Times New Roman" w:hAnsi="Times New Roman" w:cs="Times New Roman"/>
          <w:color w:val="000000"/>
          <w:sz w:val="20"/>
          <w:szCs w:val="20"/>
        </w:rPr>
        <w:t xml:space="preserve"> Individual Debt Adjustment</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95" w:history="1">
        <w:r>
          <w:rPr>
            <w:rFonts w:ascii="Times New Roman" w:hAnsi="Times New Roman" w:cs="Times New Roman"/>
            <w:color w:val="0000FF"/>
            <w:sz w:val="20"/>
            <w:szCs w:val="20"/>
            <w:u w:val="single"/>
          </w:rPr>
          <w:t>51k3704</w:t>
        </w:r>
      </w:hyperlink>
      <w:r>
        <w:rPr>
          <w:rFonts w:ascii="Times New Roman" w:hAnsi="Times New Roman" w:cs="Times New Roman"/>
          <w:color w:val="000000"/>
          <w:sz w:val="20"/>
          <w:szCs w:val="20"/>
        </w:rPr>
        <w:t xml:space="preserve"> Plan</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96" w:history="1">
        <w:r>
          <w:rPr>
            <w:rFonts w:ascii="Times New Roman" w:hAnsi="Times New Roman" w:cs="Times New Roman"/>
            <w:color w:val="0000FF"/>
            <w:sz w:val="20"/>
            <w:szCs w:val="20"/>
            <w:u w:val="single"/>
          </w:rPr>
          <w:t>51k3705</w:t>
        </w:r>
      </w:hyperlink>
      <w:r>
        <w:rPr>
          <w:rFonts w:ascii="Times New Roman" w:hAnsi="Times New Roman" w:cs="Times New Roman"/>
          <w:color w:val="000000"/>
          <w:sz w:val="20"/>
          <w:szCs w:val="20"/>
        </w:rPr>
        <w:t xml:space="preserve"> k. Claims and Assets; Propriety and Feasibility in General. </w:t>
      </w:r>
      <w:hyperlink r:id="rId97" w:history="1">
        <w:r>
          <w:rPr>
            <w:rFonts w:ascii="Times New Roman" w:hAnsi="Times New Roman" w:cs="Times New Roman"/>
            <w:color w:val="0000FF"/>
            <w:sz w:val="20"/>
            <w:szCs w:val="20"/>
            <w:u w:val="single"/>
          </w:rPr>
          <w:t>Most Cited Cases</w:t>
        </w:r>
      </w:hyperlink>
      <w:r>
        <w:rPr>
          <w:rFonts w:ascii="Times New Roman" w:hAnsi="Times New Roman" w:cs="Times New Roman"/>
          <w:color w:val="000000"/>
          <w:sz w:val="20"/>
          <w:szCs w:val="20"/>
        </w:rPr>
        <w:t xml:space="preserve"> </w:t>
      </w:r>
      <w:bookmarkStart w:id="22" w:name="Document1zzI75e0f1de734811df9b8c85033233"/>
      <w:bookmarkEnd w:id="22"/>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Chapter 13 plan cannot be confirmed unless the debtor will be able to make all payments under the plan and comply with the plan. </w:t>
      </w:r>
      <w:hyperlink r:id="rId98" w:history="1">
        <w:r>
          <w:rPr>
            <w:rFonts w:ascii="Times New Roman" w:hAnsi="Times New Roman" w:cs="Times New Roman"/>
            <w:color w:val="0000FF"/>
            <w:sz w:val="20"/>
            <w:szCs w:val="20"/>
            <w:u w:val="single"/>
          </w:rPr>
          <w:t>11 U.S.C.A. § 1325(a)(6)</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B122022242875" w:history="1">
        <w:r>
          <w:rPr>
            <w:rFonts w:ascii="Times New Roman" w:hAnsi="Times New Roman" w:cs="Times New Roman"/>
            <w:b/>
            <w:bCs/>
            <w:color w:val="0000FF"/>
            <w:sz w:val="20"/>
            <w:szCs w:val="20"/>
            <w:u w:val="single"/>
          </w:rPr>
          <w:t>[12]</w:t>
        </w:r>
      </w:hyperlink>
      <w:bookmarkStart w:id="23" w:name="Document1zzF122022242875"/>
      <w:bookmarkEnd w:id="23"/>
      <w:r>
        <w:rPr>
          <w:rFonts w:ascii="Times New Roman" w:hAnsi="Times New Roman" w:cs="Times New Roman"/>
          <w:b/>
          <w:bCs/>
          <w:color w:val="000000"/>
          <w:sz w:val="20"/>
          <w:szCs w:val="20"/>
        </w:rPr>
        <w:t xml:space="preserve"> Bankruptcy 51 </w:t>
      </w:r>
      <w:r>
        <w:rPr>
          <w:rFonts w:ascii="Times New Roman" w:hAnsi="Times New Roman" w:cs="Times New Roman"/>
          <w:b/>
          <w:bCs/>
          <w:noProof/>
          <w:color w:val="000000"/>
          <w:sz w:val="20"/>
          <w:szCs w:val="20"/>
        </w:rPr>
        <w:drawing>
          <wp:inline distT="0" distB="0" distL="0" distR="0">
            <wp:extent cx="252095" cy="1289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srcRect/>
                    <a:stretch>
                      <a:fillRect/>
                    </a:stretch>
                  </pic:blipFill>
                  <pic:spPr bwMode="auto">
                    <a:xfrm>
                      <a:off x="0" y="0"/>
                      <a:ext cx="25209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2322.5</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99" w:history="1">
        <w:r>
          <w:rPr>
            <w:rFonts w:ascii="Times New Roman" w:hAnsi="Times New Roman" w:cs="Times New Roman"/>
            <w:color w:val="0000FF"/>
            <w:sz w:val="20"/>
            <w:szCs w:val="20"/>
            <w:u w:val="single"/>
          </w:rPr>
          <w:t>51</w:t>
        </w:r>
      </w:hyperlink>
      <w:r>
        <w:rPr>
          <w:rFonts w:ascii="Times New Roman" w:hAnsi="Times New Roman" w:cs="Times New Roman"/>
          <w:color w:val="000000"/>
          <w:sz w:val="20"/>
          <w:szCs w:val="20"/>
        </w:rPr>
        <w:t xml:space="preserve"> Bankruptcy</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100" w:history="1">
        <w:r>
          <w:rPr>
            <w:rFonts w:ascii="Times New Roman" w:hAnsi="Times New Roman" w:cs="Times New Roman"/>
            <w:color w:val="0000FF"/>
            <w:sz w:val="20"/>
            <w:szCs w:val="20"/>
            <w:u w:val="single"/>
          </w:rPr>
          <w:t>51III</w:t>
        </w:r>
      </w:hyperlink>
      <w:r>
        <w:rPr>
          <w:rFonts w:ascii="Times New Roman" w:hAnsi="Times New Roman" w:cs="Times New Roman"/>
          <w:color w:val="000000"/>
          <w:sz w:val="20"/>
          <w:szCs w:val="20"/>
        </w:rPr>
        <w:t xml:space="preserve"> The Case</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101" w:history="1">
        <w:r>
          <w:rPr>
            <w:rFonts w:ascii="Times New Roman" w:hAnsi="Times New Roman" w:cs="Times New Roman"/>
            <w:color w:val="0000FF"/>
            <w:sz w:val="20"/>
            <w:szCs w:val="20"/>
            <w:u w:val="single"/>
          </w:rPr>
          <w:t>51III(F)</w:t>
        </w:r>
      </w:hyperlink>
      <w:r>
        <w:rPr>
          <w:rFonts w:ascii="Times New Roman" w:hAnsi="Times New Roman" w:cs="Times New Roman"/>
          <w:color w:val="000000"/>
          <w:sz w:val="20"/>
          <w:szCs w:val="20"/>
        </w:rPr>
        <w:t xml:space="preserve"> Schedules and Statement of Affairs</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102" w:history="1">
        <w:r>
          <w:rPr>
            <w:rFonts w:ascii="Times New Roman" w:hAnsi="Times New Roman" w:cs="Times New Roman"/>
            <w:color w:val="0000FF"/>
            <w:sz w:val="20"/>
            <w:szCs w:val="20"/>
            <w:u w:val="single"/>
          </w:rPr>
          <w:t>51k2</w:t>
        </w:r>
        <w:r>
          <w:rPr>
            <w:rFonts w:ascii="Times New Roman" w:hAnsi="Times New Roman" w:cs="Times New Roman"/>
            <w:color w:val="0000FF"/>
            <w:sz w:val="20"/>
            <w:szCs w:val="20"/>
            <w:u w:val="single"/>
          </w:rPr>
          <w:t>322.5</w:t>
        </w:r>
      </w:hyperlink>
      <w:r>
        <w:rPr>
          <w:rFonts w:ascii="Times New Roman" w:hAnsi="Times New Roman" w:cs="Times New Roman"/>
          <w:color w:val="000000"/>
          <w:sz w:val="20"/>
          <w:szCs w:val="20"/>
        </w:rPr>
        <w:t xml:space="preserve"> k. Income and Expenditures. </w:t>
      </w:r>
      <w:hyperlink r:id="rId103" w:history="1">
        <w:r>
          <w:rPr>
            <w:rFonts w:ascii="Times New Roman" w:hAnsi="Times New Roman" w:cs="Times New Roman"/>
            <w:color w:val="0000FF"/>
            <w:sz w:val="20"/>
            <w:szCs w:val="20"/>
            <w:u w:val="single"/>
          </w:rPr>
          <w:t>Most Cited Cases</w:t>
        </w:r>
      </w:hyperlink>
      <w:r>
        <w:rPr>
          <w:rFonts w:ascii="Times New Roman" w:hAnsi="Times New Roman" w:cs="Times New Roman"/>
          <w:color w:val="000000"/>
          <w:sz w:val="20"/>
          <w:szCs w:val="20"/>
        </w:rPr>
        <w:t xml:space="preserve"> </w:t>
      </w:r>
      <w:bookmarkStart w:id="24" w:name="Document1zzI75e0f1e0734811df9b8c85033233"/>
      <w:bookmarkEnd w:id="24"/>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Debtor seeking </w:t>
      </w:r>
      <w:r>
        <w:rPr>
          <w:rFonts w:ascii="Times New Roman" w:hAnsi="Times New Roman" w:cs="Times New Roman"/>
          <w:color w:val="000000"/>
          <w:sz w:val="20"/>
          <w:szCs w:val="20"/>
        </w:rPr>
        <w:t xml:space="preserve">additional time to file a schedule of income must submit the request within 45 days after filing the bankruptcy petition, and the court may not grant an extension of more than 45 days. </w:t>
      </w:r>
      <w:hyperlink r:id="rId104" w:history="1">
        <w:r>
          <w:rPr>
            <w:rFonts w:ascii="Times New Roman" w:hAnsi="Times New Roman" w:cs="Times New Roman"/>
            <w:color w:val="0000FF"/>
            <w:sz w:val="20"/>
            <w:szCs w:val="20"/>
            <w:u w:val="single"/>
          </w:rPr>
          <w:t>11 U.S.C.A. § 521(i)(3)</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i/>
          <w:iCs/>
          <w:color w:val="000000"/>
          <w:sz w:val="20"/>
          <w:szCs w:val="20"/>
        </w:rPr>
        <w:t>Syllabus</w:t>
      </w:r>
      <w:r>
        <w:rPr>
          <w:rFonts w:ascii="Times New Roman" w:hAnsi="Times New Roman" w:cs="Times New Roman"/>
          <w:color w:val="000000"/>
          <w:sz w:val="20"/>
          <w:szCs w:val="20"/>
        </w:rPr>
        <w:t xml:space="preserve"> </w:t>
      </w:r>
      <w:hyperlink w:anchor="Document1zzB0012022242875" w:history="1">
        <w:r>
          <w:rPr>
            <w:rFonts w:ascii="Times New Roman" w:hAnsi="Times New Roman" w:cs="Times New Roman"/>
            <w:color w:val="0000FF"/>
            <w:sz w:val="20"/>
            <w:szCs w:val="20"/>
            <w:u w:val="single"/>
            <w:vertAlign w:val="superscript"/>
          </w:rPr>
          <w:t>FN*</w:t>
        </w:r>
      </w:hyperlink>
      <w:bookmarkStart w:id="25" w:name="Document1zzF0012022242875"/>
      <w:bookmarkEnd w:id="25"/>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ind w:left="720"/>
        <w:jc w:val="both"/>
        <w:rPr>
          <w:rFonts w:ascii="Times New Roman" w:hAnsi="Times New Roman" w:cs="Times New Roman"/>
          <w:color w:val="000000"/>
          <w:sz w:val="24"/>
          <w:szCs w:val="24"/>
        </w:rPr>
      </w:pPr>
      <w:hyperlink w:anchor="Document1zzF0012022242875" w:history="1">
        <w:r>
          <w:rPr>
            <w:rFonts w:ascii="Times New Roman" w:hAnsi="Times New Roman" w:cs="Times New Roman"/>
            <w:color w:val="0000FF"/>
            <w:sz w:val="20"/>
            <w:szCs w:val="20"/>
            <w:u w:val="single"/>
          </w:rPr>
          <w:t>FN*</w:t>
        </w:r>
      </w:hyperlink>
      <w:bookmarkStart w:id="26" w:name="Document1zzB0012022242875"/>
      <w:bookmarkEnd w:id="26"/>
      <w:r>
        <w:rPr>
          <w:rFonts w:ascii="Times New Roman" w:hAnsi="Times New Roman" w:cs="Times New Roman"/>
          <w:color w:val="000000"/>
          <w:sz w:val="20"/>
          <w:szCs w:val="20"/>
        </w:rPr>
        <w:t xml:space="preserve"> The syllabus constitutes no part of the opinion of the Court but has been prepared by the Reporter of Decisions for the conven</w:t>
      </w:r>
      <w:r>
        <w:rPr>
          <w:rFonts w:ascii="Times New Roman" w:hAnsi="Times New Roman" w:cs="Times New Roman"/>
          <w:color w:val="000000"/>
          <w:sz w:val="20"/>
          <w:szCs w:val="20"/>
        </w:rPr>
        <w:t>i</w:t>
      </w:r>
      <w:r>
        <w:rPr>
          <w:rFonts w:ascii="Times New Roman" w:hAnsi="Times New Roman" w:cs="Times New Roman"/>
          <w:color w:val="000000"/>
          <w:sz w:val="20"/>
          <w:szCs w:val="20"/>
        </w:rPr>
        <w:t xml:space="preserve">ence of the reader. See </w:t>
      </w:r>
      <w:hyperlink r:id="rId105" w:history="1">
        <w:r>
          <w:rPr>
            <w:rFonts w:ascii="Times New Roman" w:hAnsi="Times New Roman" w:cs="Times New Roman"/>
            <w:i/>
            <w:iCs/>
            <w:color w:val="0000FF"/>
            <w:sz w:val="20"/>
            <w:szCs w:val="20"/>
            <w:u w:val="single"/>
          </w:rPr>
          <w:t>United States v. D</w:t>
        </w:r>
        <w:r>
          <w:rPr>
            <w:rFonts w:ascii="Times New Roman" w:hAnsi="Times New Roman" w:cs="Times New Roman"/>
            <w:i/>
            <w:iCs/>
            <w:color w:val="0000FF"/>
            <w:sz w:val="20"/>
            <w:szCs w:val="20"/>
            <w:u w:val="single"/>
          </w:rPr>
          <w:t>e</w:t>
        </w:r>
        <w:r>
          <w:rPr>
            <w:rFonts w:ascii="Times New Roman" w:hAnsi="Times New Roman" w:cs="Times New Roman"/>
            <w:i/>
            <w:iCs/>
            <w:color w:val="0000FF"/>
            <w:sz w:val="20"/>
            <w:szCs w:val="20"/>
            <w:u w:val="single"/>
          </w:rPr>
          <w:t>troit Timber &amp; Lumber Co.,</w:t>
        </w:r>
      </w:hyperlink>
      <w:hyperlink r:id="rId106" w:history="1">
        <w:r>
          <w:rPr>
            <w:rFonts w:ascii="Times New Roman" w:hAnsi="Times New Roman" w:cs="Times New Roman"/>
            <w:color w:val="0000FF"/>
            <w:sz w:val="20"/>
            <w:szCs w:val="20"/>
            <w:u w:val="single"/>
          </w:rPr>
          <w:t xml:space="preserve"> 200 U.S. 321, 337, 26 S.Ct. 282, 50 L.Ed. 499</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*1</w:t>
      </w:r>
      <w:r>
        <w:rPr>
          <w:rFonts w:ascii="Times New Roman" w:hAnsi="Times New Roman" w:cs="Times New Roman"/>
          <w:color w:val="000000"/>
          <w:sz w:val="20"/>
          <w:szCs w:val="20"/>
        </w:rPr>
        <w:t xml:space="preserve"> Debtors filing for protection under Chapter 13 of the Bankruptcy Code must agree to a court-approved plan under which they pay creditors out of their future income. If the bankruptcy trustee or an </w:t>
      </w:r>
      <w:r>
        <w:rPr>
          <w:rFonts w:ascii="Times New Roman" w:hAnsi="Times New Roman" w:cs="Times New Roman"/>
          <w:color w:val="000000"/>
          <w:sz w:val="20"/>
          <w:szCs w:val="20"/>
        </w:rPr>
        <w:t xml:space="preserve">unsecured creditor objects, a bankruptcy court may not approve the plan unless it provides for the full repayment of unsecured claims or </w:t>
      </w:r>
      <w:r>
        <w:rPr>
          <w:rFonts w:ascii="Times New Roman" w:hAnsi="Times New Roman" w:cs="Times New Roman"/>
          <w:color w:val="000000"/>
          <w:sz w:val="20"/>
          <w:szCs w:val="20"/>
        </w:rPr>
        <w:t>“</w:t>
      </w:r>
      <w:r>
        <w:rPr>
          <w:rFonts w:ascii="Times New Roman" w:hAnsi="Times New Roman" w:cs="Times New Roman"/>
          <w:color w:val="000000"/>
          <w:sz w:val="20"/>
          <w:szCs w:val="20"/>
        </w:rPr>
        <w:t>provides that all of the debtor's projected disposable income to be received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over the plan's dur</w:t>
      </w:r>
      <w:r>
        <w:rPr>
          <w:rFonts w:ascii="Times New Roman" w:hAnsi="Times New Roman" w:cs="Times New Roman"/>
          <w:color w:val="000000"/>
          <w:sz w:val="20"/>
          <w:szCs w:val="20"/>
        </w:rPr>
        <w:t>a</w:t>
      </w:r>
      <w:r>
        <w:rPr>
          <w:rFonts w:ascii="Times New Roman" w:hAnsi="Times New Roman" w:cs="Times New Roman"/>
          <w:color w:val="000000"/>
          <w:sz w:val="20"/>
          <w:szCs w:val="20"/>
        </w:rPr>
        <w:t xml:space="preserve">tion </w:t>
      </w:r>
      <w:r>
        <w:rPr>
          <w:rFonts w:ascii="Times New Roman" w:hAnsi="Times New Roman" w:cs="Times New Roman"/>
          <w:color w:val="000000"/>
          <w:sz w:val="20"/>
          <w:szCs w:val="20"/>
        </w:rPr>
        <w:t>“</w:t>
      </w:r>
      <w:r>
        <w:rPr>
          <w:rFonts w:ascii="Times New Roman" w:hAnsi="Times New Roman" w:cs="Times New Roman"/>
          <w:color w:val="000000"/>
          <w:sz w:val="20"/>
          <w:szCs w:val="20"/>
        </w:rPr>
        <w:t>will be applie</w:t>
      </w:r>
      <w:r>
        <w:rPr>
          <w:rFonts w:ascii="Times New Roman" w:hAnsi="Times New Roman" w:cs="Times New Roman"/>
          <w:color w:val="000000"/>
          <w:sz w:val="20"/>
          <w:szCs w:val="20"/>
        </w:rPr>
        <w:t>d to make payments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accordance with plan terms. </w:t>
      </w:r>
      <w:hyperlink r:id="rId107" w:history="1">
        <w:r>
          <w:rPr>
            <w:rFonts w:ascii="Times New Roman" w:hAnsi="Times New Roman" w:cs="Times New Roman"/>
            <w:color w:val="0000FF"/>
            <w:sz w:val="20"/>
            <w:szCs w:val="20"/>
            <w:u w:val="single"/>
          </w:rPr>
          <w:t>11 U.S.C. § 1325(b)(1)</w:t>
        </w:r>
      </w:hyperlink>
      <w:r>
        <w:rPr>
          <w:rFonts w:ascii="Times New Roman" w:hAnsi="Times New Roman" w:cs="Times New Roman"/>
          <w:color w:val="000000"/>
          <w:sz w:val="20"/>
          <w:szCs w:val="20"/>
        </w:rPr>
        <w:t>. Before ena</w:t>
      </w:r>
      <w:r>
        <w:rPr>
          <w:rFonts w:ascii="Times New Roman" w:hAnsi="Times New Roman" w:cs="Times New Roman"/>
          <w:color w:val="000000"/>
          <w:sz w:val="20"/>
          <w:szCs w:val="20"/>
        </w:rPr>
        <w:t>ctment of the Bankruptcy Abuse Pr</w:t>
      </w:r>
      <w:r>
        <w:rPr>
          <w:rFonts w:ascii="Times New Roman" w:hAnsi="Times New Roman" w:cs="Times New Roman"/>
          <w:color w:val="000000"/>
          <w:sz w:val="20"/>
          <w:szCs w:val="20"/>
        </w:rPr>
        <w:t>e</w:t>
      </w:r>
      <w:r>
        <w:rPr>
          <w:rFonts w:ascii="Times New Roman" w:hAnsi="Times New Roman" w:cs="Times New Roman"/>
          <w:color w:val="000000"/>
          <w:sz w:val="20"/>
          <w:szCs w:val="20"/>
        </w:rPr>
        <w:t>ve</w:t>
      </w:r>
      <w:r>
        <w:rPr>
          <w:rFonts w:ascii="Times New Roman" w:hAnsi="Times New Roman" w:cs="Times New Roman"/>
          <w:color w:val="000000"/>
          <w:sz w:val="20"/>
          <w:szCs w:val="20"/>
        </w:rPr>
        <w:t>n</w:t>
      </w:r>
      <w:r>
        <w:rPr>
          <w:rFonts w:ascii="Times New Roman" w:hAnsi="Times New Roman" w:cs="Times New Roman"/>
          <w:color w:val="000000"/>
          <w:sz w:val="20"/>
          <w:szCs w:val="20"/>
        </w:rPr>
        <w:t>tion and Consumer Protection Act of 2005 (BAP</w:t>
      </w:r>
      <w:r>
        <w:rPr>
          <w:rFonts w:ascii="Times New Roman" w:hAnsi="Times New Roman" w:cs="Times New Roman"/>
          <w:color w:val="000000"/>
          <w:sz w:val="20"/>
          <w:szCs w:val="20"/>
        </w:rPr>
        <w:t>C</w:t>
      </w:r>
      <w:r>
        <w:rPr>
          <w:rFonts w:ascii="Times New Roman" w:hAnsi="Times New Roman" w:cs="Times New Roman"/>
          <w:color w:val="000000"/>
          <w:sz w:val="20"/>
          <w:szCs w:val="20"/>
        </w:rPr>
        <w:t xml:space="preserve">PA), the Code loosely defined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Though it did not define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w:t>
      </w:r>
      <w:r>
        <w:rPr>
          <w:rFonts w:ascii="Times New Roman" w:hAnsi="Times New Roman" w:cs="Times New Roman"/>
          <w:color w:val="000000"/>
          <w:sz w:val="20"/>
          <w:szCs w:val="20"/>
        </w:rPr>
        <w:t>n</w:t>
      </w:r>
      <w:r>
        <w:rPr>
          <w:rFonts w:ascii="Times New Roman" w:hAnsi="Times New Roman" w:cs="Times New Roman"/>
          <w:color w:val="000000"/>
          <w:sz w:val="20"/>
          <w:szCs w:val="20"/>
        </w:rPr>
        <w:t>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most bankruptcy courts calculated it using a mechanical approach, </w:t>
      </w:r>
      <w:r>
        <w:rPr>
          <w:rFonts w:ascii="Times New Roman" w:hAnsi="Times New Roman" w:cs="Times New Roman"/>
          <w:color w:val="000000"/>
          <w:sz w:val="20"/>
          <w:szCs w:val="20"/>
        </w:rPr>
        <w:t xml:space="preserve">multiplying monthly income by the number of months in the plan and then determining </w:t>
      </w:r>
      <w:r>
        <w:rPr>
          <w:rFonts w:ascii="Times New Roman" w:hAnsi="Times New Roman" w:cs="Times New Roman"/>
          <w:color w:val="000000"/>
          <w:sz w:val="20"/>
          <w:szCs w:val="20"/>
        </w:rPr>
        <w:lastRenderedPageBreak/>
        <w:t xml:space="preserve">the </w:t>
      </w:r>
      <w:r>
        <w:rPr>
          <w:rFonts w:ascii="Times New Roman" w:hAnsi="Times New Roman" w:cs="Times New Roman"/>
          <w:color w:val="000000"/>
          <w:sz w:val="20"/>
          <w:szCs w:val="20"/>
        </w:rPr>
        <w:t>“</w:t>
      </w:r>
      <w:r>
        <w:rPr>
          <w:rFonts w:ascii="Times New Roman" w:hAnsi="Times New Roman" w:cs="Times New Roman"/>
          <w:color w:val="000000"/>
          <w:sz w:val="20"/>
          <w:szCs w:val="20"/>
        </w:rPr>
        <w:t>disposable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portion of the result. In exceptional cases, those courts also took into account foreseeable changes in a debtor's income or expenses. BAPCPA defines </w:t>
      </w:r>
      <w:r>
        <w:rPr>
          <w:rFonts w:ascii="Times New Roman" w:hAnsi="Times New Roman" w:cs="Times New Roman"/>
          <w:color w:val="000000"/>
          <w:sz w:val="20"/>
          <w:szCs w:val="20"/>
        </w:rPr>
        <w:t>“</w:t>
      </w:r>
      <w:r>
        <w:rPr>
          <w:rFonts w:ascii="Times New Roman" w:hAnsi="Times New Roman" w:cs="Times New Roman"/>
          <w:color w:val="000000"/>
          <w:sz w:val="20"/>
          <w:szCs w:val="20"/>
        </w:rPr>
        <w:t>disp</w:t>
      </w:r>
      <w:r>
        <w:rPr>
          <w:rFonts w:ascii="Times New Roman" w:hAnsi="Times New Roman" w:cs="Times New Roman"/>
          <w:color w:val="000000"/>
          <w:sz w:val="20"/>
          <w:szCs w:val="20"/>
        </w:rPr>
        <w:t>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as </w:t>
      </w:r>
      <w:r>
        <w:rPr>
          <w:rFonts w:ascii="Times New Roman" w:hAnsi="Times New Roman" w:cs="Times New Roman"/>
          <w:color w:val="000000"/>
          <w:sz w:val="20"/>
          <w:szCs w:val="20"/>
        </w:rPr>
        <w:t>“</w:t>
      </w:r>
      <w:r>
        <w:rPr>
          <w:rFonts w:ascii="Times New Roman" w:hAnsi="Times New Roman" w:cs="Times New Roman"/>
          <w:color w:val="000000"/>
          <w:sz w:val="20"/>
          <w:szCs w:val="20"/>
        </w:rPr>
        <w:t>current monthly income received by the debtor</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less </w:t>
      </w:r>
      <w:r>
        <w:rPr>
          <w:rFonts w:ascii="Times New Roman" w:hAnsi="Times New Roman" w:cs="Times New Roman"/>
          <w:color w:val="000000"/>
          <w:sz w:val="20"/>
          <w:szCs w:val="20"/>
        </w:rPr>
        <w:t>“</w:t>
      </w:r>
      <w:r>
        <w:rPr>
          <w:rFonts w:ascii="Times New Roman" w:hAnsi="Times New Roman" w:cs="Times New Roman"/>
          <w:color w:val="000000"/>
          <w:sz w:val="20"/>
          <w:szCs w:val="20"/>
        </w:rPr>
        <w:t>amounts re</w:t>
      </w:r>
      <w:r>
        <w:rPr>
          <w:rFonts w:ascii="Times New Roman" w:hAnsi="Times New Roman" w:cs="Times New Roman"/>
          <w:color w:val="000000"/>
          <w:sz w:val="20"/>
          <w:szCs w:val="20"/>
        </w:rPr>
        <w:t>a</w:t>
      </w:r>
      <w:r>
        <w:rPr>
          <w:rFonts w:ascii="Times New Roman" w:hAnsi="Times New Roman" w:cs="Times New Roman"/>
          <w:color w:val="000000"/>
          <w:sz w:val="20"/>
          <w:szCs w:val="20"/>
        </w:rPr>
        <w:t>sonably necessary to be expended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for, </w:t>
      </w:r>
      <w:r>
        <w:rPr>
          <w:rFonts w:ascii="Times New Roman" w:hAnsi="Times New Roman" w:cs="Times New Roman"/>
          <w:i/>
          <w:iCs/>
          <w:color w:val="000000"/>
          <w:sz w:val="20"/>
          <w:szCs w:val="20"/>
        </w:rPr>
        <w:t>e.g.,</w:t>
      </w:r>
      <w:r>
        <w:rPr>
          <w:rFonts w:ascii="Times New Roman" w:hAnsi="Times New Roman" w:cs="Times New Roman"/>
          <w:color w:val="000000"/>
          <w:sz w:val="20"/>
          <w:szCs w:val="20"/>
        </w:rPr>
        <w:t xml:space="preserve"> the de</w:t>
      </w:r>
      <w:r>
        <w:rPr>
          <w:rFonts w:ascii="Times New Roman" w:hAnsi="Times New Roman" w:cs="Times New Roman"/>
          <w:color w:val="000000"/>
          <w:sz w:val="20"/>
          <w:szCs w:val="20"/>
        </w:rPr>
        <w:t>b</w:t>
      </w:r>
      <w:r>
        <w:rPr>
          <w:rFonts w:ascii="Times New Roman" w:hAnsi="Times New Roman" w:cs="Times New Roman"/>
          <w:color w:val="000000"/>
          <w:sz w:val="20"/>
          <w:szCs w:val="20"/>
        </w:rPr>
        <w:t xml:space="preserve">tor's maintenance and support. </w:t>
      </w:r>
      <w:hyperlink r:id="rId108" w:history="1">
        <w:r>
          <w:rPr>
            <w:rFonts w:ascii="Times New Roman" w:hAnsi="Times New Roman" w:cs="Times New Roman"/>
            <w:color w:val="0000FF"/>
            <w:sz w:val="20"/>
            <w:szCs w:val="20"/>
            <w:u w:val="single"/>
          </w:rPr>
          <w:t>§ 1325(b)(2)(A)(i)</w:t>
        </w:r>
      </w:hyperlink>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Current monthly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turn, is ca</w:t>
      </w:r>
      <w:r>
        <w:rPr>
          <w:rFonts w:ascii="Times New Roman" w:hAnsi="Times New Roman" w:cs="Times New Roman"/>
          <w:color w:val="000000"/>
          <w:sz w:val="20"/>
          <w:szCs w:val="20"/>
        </w:rPr>
        <w:t>l</w:t>
      </w:r>
      <w:r>
        <w:rPr>
          <w:rFonts w:ascii="Times New Roman" w:hAnsi="Times New Roman" w:cs="Times New Roman"/>
          <w:color w:val="000000"/>
          <w:sz w:val="20"/>
          <w:szCs w:val="20"/>
        </w:rPr>
        <w:t>culated by averaging the debtor's monthly income during a 6-month look-back period preceding the petition's filing</w:t>
      </w:r>
      <w:r>
        <w:rPr>
          <w:rFonts w:ascii="Times New Roman" w:hAnsi="Times New Roman" w:cs="Times New Roman"/>
          <w:color w:val="000000"/>
          <w:sz w:val="20"/>
          <w:szCs w:val="20"/>
        </w:rPr>
        <w:t xml:space="preserve">. See </w:t>
      </w:r>
      <w:hyperlink r:id="rId109" w:history="1">
        <w:r>
          <w:rPr>
            <w:rFonts w:ascii="Times New Roman" w:hAnsi="Times New Roman" w:cs="Times New Roman"/>
            <w:color w:val="0000FF"/>
            <w:sz w:val="20"/>
            <w:szCs w:val="20"/>
            <w:u w:val="single"/>
          </w:rPr>
          <w:t>§ 101(10A)(A)(i)</w:t>
        </w:r>
      </w:hyperlink>
      <w:r>
        <w:rPr>
          <w:rFonts w:ascii="Times New Roman" w:hAnsi="Times New Roman" w:cs="Times New Roman"/>
          <w:color w:val="000000"/>
          <w:sz w:val="20"/>
          <w:szCs w:val="20"/>
        </w:rPr>
        <w:t>. If a debtor's income is below the median for his or her State,</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amounts re</w:t>
      </w:r>
      <w:r>
        <w:rPr>
          <w:rFonts w:ascii="Times New Roman" w:hAnsi="Times New Roman" w:cs="Times New Roman"/>
          <w:color w:val="000000"/>
          <w:sz w:val="20"/>
          <w:szCs w:val="20"/>
        </w:rPr>
        <w:t>a</w:t>
      </w:r>
      <w:r>
        <w:rPr>
          <w:rFonts w:ascii="Times New Roman" w:hAnsi="Times New Roman" w:cs="Times New Roman"/>
          <w:color w:val="000000"/>
          <w:sz w:val="20"/>
          <w:szCs w:val="20"/>
        </w:rPr>
        <w:t>sonably necessary</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include the full amount needed for </w:t>
      </w:r>
      <w:r>
        <w:rPr>
          <w:rFonts w:ascii="Times New Roman" w:hAnsi="Times New Roman" w:cs="Times New Roman"/>
          <w:color w:val="000000"/>
          <w:sz w:val="20"/>
          <w:szCs w:val="20"/>
        </w:rPr>
        <w:t>“</w:t>
      </w:r>
      <w:r>
        <w:rPr>
          <w:rFonts w:ascii="Times New Roman" w:hAnsi="Times New Roman" w:cs="Times New Roman"/>
          <w:color w:val="000000"/>
          <w:sz w:val="20"/>
          <w:szCs w:val="20"/>
        </w:rPr>
        <w:t>maintenance or support,</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see </w:t>
      </w:r>
      <w:hyperlink r:id="rId110" w:history="1">
        <w:r>
          <w:rPr>
            <w:rFonts w:ascii="Times New Roman" w:hAnsi="Times New Roman" w:cs="Times New Roman"/>
            <w:color w:val="0000FF"/>
            <w:sz w:val="20"/>
            <w:szCs w:val="20"/>
            <w:u w:val="single"/>
          </w:rPr>
          <w:t>§ 1325(b)(2)(A)(i)</w:t>
        </w:r>
      </w:hyperlink>
      <w:r>
        <w:rPr>
          <w:rFonts w:ascii="Times New Roman" w:hAnsi="Times New Roman" w:cs="Times New Roman"/>
          <w:color w:val="000000"/>
          <w:sz w:val="20"/>
          <w:szCs w:val="20"/>
        </w:rPr>
        <w:t xml:space="preserve">, but if the debtor's income exceeds the state median, only certain specified expenses are included, see </w:t>
      </w:r>
      <w:hyperlink r:id="rId111" w:history="1">
        <w:r>
          <w:rPr>
            <w:rFonts w:ascii="Times New Roman" w:hAnsi="Times New Roman" w:cs="Times New Roman"/>
            <w:color w:val="0000FF"/>
            <w:sz w:val="20"/>
            <w:szCs w:val="20"/>
            <w:u w:val="single"/>
          </w:rPr>
          <w:t>§§ 707(b)(2)</w:t>
        </w:r>
      </w:hyperlink>
      <w:r>
        <w:rPr>
          <w:rFonts w:ascii="Times New Roman" w:hAnsi="Times New Roman" w:cs="Times New Roman"/>
          <w:color w:val="000000"/>
          <w:sz w:val="20"/>
          <w:szCs w:val="20"/>
        </w:rPr>
        <w:t xml:space="preserve">, </w:t>
      </w:r>
      <w:hyperlink r:id="rId112" w:history="1">
        <w:r>
          <w:rPr>
            <w:rFonts w:ascii="Times New Roman" w:hAnsi="Times New Roman" w:cs="Times New Roman"/>
            <w:color w:val="0000FF"/>
            <w:sz w:val="20"/>
            <w:szCs w:val="20"/>
            <w:u w:val="single"/>
          </w:rPr>
          <w:t>1325(b)(3)(A)</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A one-time buyout from respondent's former e</w:t>
      </w:r>
      <w:r>
        <w:rPr>
          <w:rFonts w:ascii="Times New Roman" w:hAnsi="Times New Roman" w:cs="Times New Roman"/>
          <w:color w:val="000000"/>
          <w:sz w:val="20"/>
          <w:szCs w:val="20"/>
        </w:rPr>
        <w:t>m</w:t>
      </w:r>
      <w:r>
        <w:rPr>
          <w:rFonts w:ascii="Times New Roman" w:hAnsi="Times New Roman" w:cs="Times New Roman"/>
          <w:color w:val="000000"/>
          <w:sz w:val="20"/>
          <w:szCs w:val="20"/>
        </w:rPr>
        <w:t>ployer caused her current monthly income for the six months preceding her Chapter 13 petition to exceed her State's median income. However, based on the income from her new job, which was below the state median,</w:t>
      </w:r>
      <w:r>
        <w:rPr>
          <w:rFonts w:ascii="Times New Roman" w:hAnsi="Times New Roman" w:cs="Times New Roman"/>
          <w:color w:val="000000"/>
          <w:sz w:val="20"/>
          <w:szCs w:val="20"/>
        </w:rPr>
        <w:t xml:space="preserve"> and her expenses, she reported a monthly disposable income of $149.03. She thus filed a plan that would have required her to pay $144 per month for 36 months. Pet</w:t>
      </w:r>
      <w:r>
        <w:rPr>
          <w:rFonts w:ascii="Times New Roman" w:hAnsi="Times New Roman" w:cs="Times New Roman"/>
          <w:color w:val="000000"/>
          <w:sz w:val="20"/>
          <w:szCs w:val="20"/>
        </w:rPr>
        <w:t>i</w:t>
      </w:r>
      <w:r>
        <w:rPr>
          <w:rFonts w:ascii="Times New Roman" w:hAnsi="Times New Roman" w:cs="Times New Roman"/>
          <w:color w:val="000000"/>
          <w:sz w:val="20"/>
          <w:szCs w:val="20"/>
        </w:rPr>
        <w:t>tioner, the Chapter 13 trustee, objected to confirmation of the plan because the pr</w:t>
      </w:r>
      <w:r>
        <w:rPr>
          <w:rFonts w:ascii="Times New Roman" w:hAnsi="Times New Roman" w:cs="Times New Roman"/>
          <w:color w:val="000000"/>
          <w:sz w:val="20"/>
          <w:szCs w:val="20"/>
        </w:rPr>
        <w:t>o</w:t>
      </w:r>
      <w:r>
        <w:rPr>
          <w:rFonts w:ascii="Times New Roman" w:hAnsi="Times New Roman" w:cs="Times New Roman"/>
          <w:color w:val="000000"/>
          <w:sz w:val="20"/>
          <w:szCs w:val="20"/>
        </w:rPr>
        <w:t>posed pa</w:t>
      </w:r>
      <w:r>
        <w:rPr>
          <w:rFonts w:ascii="Times New Roman" w:hAnsi="Times New Roman" w:cs="Times New Roman"/>
          <w:color w:val="000000"/>
          <w:sz w:val="20"/>
          <w:szCs w:val="20"/>
        </w:rPr>
        <w:t xml:space="preserve">yment amount was less than the full amount of the claims against respondent, and because she had not committed all of her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w:t>
      </w:r>
      <w:r>
        <w:rPr>
          <w:rFonts w:ascii="Times New Roman" w:hAnsi="Times New Roman" w:cs="Times New Roman"/>
          <w:color w:val="000000"/>
          <w:sz w:val="20"/>
          <w:szCs w:val="20"/>
        </w:rPr>
        <w:t>n</w:t>
      </w:r>
      <w:r>
        <w:rPr>
          <w:rFonts w:ascii="Times New Roman" w:hAnsi="Times New Roman" w:cs="Times New Roman"/>
          <w:color w:val="000000"/>
          <w:sz w:val="20"/>
          <w:szCs w:val="20"/>
        </w:rPr>
        <w:t>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to repaying creditors. Petitioner claimed that the mechanical approach was the proper way to ca</w:t>
      </w:r>
      <w:r>
        <w:rPr>
          <w:rFonts w:ascii="Times New Roman" w:hAnsi="Times New Roman" w:cs="Times New Roman"/>
          <w:color w:val="000000"/>
          <w:sz w:val="20"/>
          <w:szCs w:val="20"/>
        </w:rPr>
        <w:t>l</w:t>
      </w:r>
      <w:r>
        <w:rPr>
          <w:rFonts w:ascii="Times New Roman" w:hAnsi="Times New Roman" w:cs="Times New Roman"/>
          <w:color w:val="000000"/>
          <w:sz w:val="20"/>
          <w:szCs w:val="20"/>
        </w:rPr>
        <w:t>culate p</w:t>
      </w:r>
      <w:r>
        <w:rPr>
          <w:rFonts w:ascii="Times New Roman" w:hAnsi="Times New Roman" w:cs="Times New Roman"/>
          <w:color w:val="000000"/>
          <w:sz w:val="20"/>
          <w:szCs w:val="20"/>
        </w:rPr>
        <w:t>rojected disposable income, and that using that approach, respondent should pay $756 per month for 60 months. Her actual income was insufficient to make such payments.</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The Bankruptcy Court endorsed a $144 payment over a 60-month period, concluding that </w:t>
      </w:r>
      <w:r>
        <w:rPr>
          <w:rFonts w:ascii="Times New Roman" w:hAnsi="Times New Roman" w:cs="Times New Roman"/>
          <w:color w:val="000000"/>
          <w:sz w:val="20"/>
          <w:szCs w:val="20"/>
        </w:rPr>
        <w:t>“</w:t>
      </w:r>
      <w:r>
        <w:rPr>
          <w:rFonts w:ascii="Times New Roman" w:hAnsi="Times New Roman" w:cs="Times New Roman"/>
          <w:color w:val="000000"/>
          <w:sz w:val="20"/>
          <w:szCs w:val="20"/>
        </w:rPr>
        <w:t>p</w:t>
      </w:r>
      <w:r>
        <w:rPr>
          <w:rFonts w:ascii="Times New Roman" w:hAnsi="Times New Roman" w:cs="Times New Roman"/>
          <w:color w:val="000000"/>
          <w:sz w:val="20"/>
          <w:szCs w:val="20"/>
        </w:rPr>
        <w:t>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r</w:t>
      </w:r>
      <w:r>
        <w:rPr>
          <w:rFonts w:ascii="Times New Roman" w:hAnsi="Times New Roman" w:cs="Times New Roman"/>
          <w:color w:val="000000"/>
          <w:sz w:val="20"/>
          <w:szCs w:val="20"/>
        </w:rPr>
        <w:t>e</w:t>
      </w:r>
      <w:r>
        <w:rPr>
          <w:rFonts w:ascii="Times New Roman" w:hAnsi="Times New Roman" w:cs="Times New Roman"/>
          <w:color w:val="000000"/>
          <w:sz w:val="20"/>
          <w:szCs w:val="20"/>
        </w:rPr>
        <w:t>quires courts to consider the debtor's actual income. The Tenth Circuit Bankruptcy Appellate Panel a</w:t>
      </w:r>
      <w:r>
        <w:rPr>
          <w:rFonts w:ascii="Times New Roman" w:hAnsi="Times New Roman" w:cs="Times New Roman"/>
          <w:color w:val="000000"/>
          <w:sz w:val="20"/>
          <w:szCs w:val="20"/>
        </w:rPr>
        <w:t>f</w:t>
      </w:r>
      <w:r>
        <w:rPr>
          <w:rFonts w:ascii="Times New Roman" w:hAnsi="Times New Roman" w:cs="Times New Roman"/>
          <w:color w:val="000000"/>
          <w:sz w:val="20"/>
          <w:szCs w:val="20"/>
        </w:rPr>
        <w:t xml:space="preserve">firmed, as did the Tenth Circuit, which held that a court calculating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should begin with the </w:t>
      </w:r>
      <w:r>
        <w:rPr>
          <w:rFonts w:ascii="Times New Roman" w:hAnsi="Times New Roman" w:cs="Times New Roman"/>
          <w:color w:val="000000"/>
          <w:sz w:val="20"/>
          <w:szCs w:val="20"/>
        </w:rPr>
        <w:t>“</w:t>
      </w:r>
      <w:r>
        <w:rPr>
          <w:rFonts w:ascii="Times New Roman" w:hAnsi="Times New Roman" w:cs="Times New Roman"/>
          <w:color w:val="000000"/>
          <w:sz w:val="20"/>
          <w:szCs w:val="20"/>
        </w:rPr>
        <w:t>presumption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that th</w:t>
      </w:r>
      <w:r>
        <w:rPr>
          <w:rFonts w:ascii="Times New Roman" w:hAnsi="Times New Roman" w:cs="Times New Roman"/>
          <w:color w:val="000000"/>
          <w:sz w:val="20"/>
          <w:szCs w:val="20"/>
        </w:rPr>
        <w:t>e figure yielded by the mechanical approach is correct, but that this figure may be rebutted by evidence of a substa</w:t>
      </w:r>
      <w:r>
        <w:rPr>
          <w:rFonts w:ascii="Times New Roman" w:hAnsi="Times New Roman" w:cs="Times New Roman"/>
          <w:color w:val="000000"/>
          <w:sz w:val="20"/>
          <w:szCs w:val="20"/>
        </w:rPr>
        <w:t>n</w:t>
      </w:r>
      <w:r>
        <w:rPr>
          <w:rFonts w:ascii="Times New Roman" w:hAnsi="Times New Roman" w:cs="Times New Roman"/>
          <w:color w:val="000000"/>
          <w:sz w:val="20"/>
          <w:szCs w:val="20"/>
        </w:rPr>
        <w:t>tial change in the debtor's circumstances.</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i/>
          <w:iCs/>
          <w:color w:val="000000"/>
          <w:sz w:val="20"/>
          <w:szCs w:val="20"/>
        </w:rPr>
        <w:t>Held:</w:t>
      </w:r>
      <w:r>
        <w:rPr>
          <w:rFonts w:ascii="Times New Roman" w:hAnsi="Times New Roman" w:cs="Times New Roman"/>
          <w:color w:val="000000"/>
          <w:sz w:val="20"/>
          <w:szCs w:val="20"/>
        </w:rPr>
        <w:t xml:space="preserve"> When a bankruptcy court calculates a debtor's projected disposable income, the court may </w:t>
      </w:r>
      <w:r>
        <w:rPr>
          <w:rFonts w:ascii="Times New Roman" w:hAnsi="Times New Roman" w:cs="Times New Roman"/>
          <w:color w:val="000000"/>
          <w:sz w:val="20"/>
          <w:szCs w:val="20"/>
        </w:rPr>
        <w:t xml:space="preserve">account </w:t>
      </w:r>
      <w:r>
        <w:rPr>
          <w:rFonts w:ascii="Times New Roman" w:hAnsi="Times New Roman" w:cs="Times New Roman"/>
          <w:color w:val="000000"/>
          <w:sz w:val="20"/>
          <w:szCs w:val="20"/>
        </w:rPr>
        <w:lastRenderedPageBreak/>
        <w:t>for changes in the debtor's income or expenses that are known or virtually certain at the time of confirmation. Pp. ---- - ----.</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*2</w:t>
      </w:r>
      <w:r>
        <w:rPr>
          <w:rFonts w:ascii="Times New Roman" w:hAnsi="Times New Roman" w:cs="Times New Roman"/>
          <w:color w:val="000000"/>
          <w:sz w:val="20"/>
          <w:szCs w:val="20"/>
        </w:rPr>
        <w:t xml:space="preserve"> (a) Respondent has the better interpretation of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First, such a fo</w:t>
      </w:r>
      <w:r>
        <w:rPr>
          <w:rFonts w:ascii="Times New Roman" w:hAnsi="Times New Roman" w:cs="Times New Roman"/>
          <w:color w:val="000000"/>
          <w:sz w:val="20"/>
          <w:szCs w:val="20"/>
        </w:rPr>
        <w:t>r</w:t>
      </w:r>
      <w:r>
        <w:rPr>
          <w:rFonts w:ascii="Times New Roman" w:hAnsi="Times New Roman" w:cs="Times New Roman"/>
          <w:color w:val="000000"/>
          <w:sz w:val="20"/>
          <w:szCs w:val="20"/>
        </w:rPr>
        <w:t>ward-looking approa</w:t>
      </w:r>
      <w:r>
        <w:rPr>
          <w:rFonts w:ascii="Times New Roman" w:hAnsi="Times New Roman" w:cs="Times New Roman"/>
          <w:color w:val="000000"/>
          <w:sz w:val="20"/>
          <w:szCs w:val="20"/>
        </w:rPr>
        <w:t xml:space="preserve">ch is supported by the ordinary meaning of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See </w:t>
      </w:r>
      <w:hyperlink r:id="rId113" w:history="1">
        <w:r>
          <w:rPr>
            <w:rFonts w:ascii="Times New Roman" w:hAnsi="Times New Roman" w:cs="Times New Roman"/>
            <w:i/>
            <w:iCs/>
            <w:color w:val="0000FF"/>
            <w:sz w:val="20"/>
            <w:szCs w:val="20"/>
            <w:u w:val="single"/>
          </w:rPr>
          <w:t>Asgrow Seed Co. v. Winterboer,</w:t>
        </w:r>
      </w:hyperlink>
      <w:hyperlink r:id="rId114" w:history="1">
        <w:r>
          <w:rPr>
            <w:rFonts w:ascii="Times New Roman" w:hAnsi="Times New Roman" w:cs="Times New Roman"/>
            <w:color w:val="0000FF"/>
            <w:sz w:val="20"/>
            <w:szCs w:val="20"/>
            <w:u w:val="single"/>
          </w:rPr>
          <w:t xml:space="preserve"> 513 U.S. 179, 187, 115 S.Ct. 788, 130 L.Ed.2d 682.</w:t>
        </w:r>
      </w:hyperlink>
      <w:r>
        <w:rPr>
          <w:rFonts w:ascii="Times New Roman" w:hAnsi="Times New Roman" w:cs="Times New Roman"/>
          <w:color w:val="000000"/>
          <w:sz w:val="20"/>
          <w:szCs w:val="20"/>
        </w:rPr>
        <w:t xml:space="preserve"> In ordinary usage future occurrences are not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based on the assumption that the past will necessarily repeat itself. While a projection takes past events into account, adjustments are often made based on other factors that may affect the outcome. Second,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appears in many federal statutes, y</w:t>
      </w:r>
      <w:r>
        <w:rPr>
          <w:rFonts w:ascii="Times New Roman" w:hAnsi="Times New Roman" w:cs="Times New Roman"/>
          <w:color w:val="000000"/>
          <w:sz w:val="20"/>
          <w:szCs w:val="20"/>
        </w:rPr>
        <w:t>et Congress rarely uses it to mean simple multipl</w:t>
      </w:r>
      <w:r>
        <w:rPr>
          <w:rFonts w:ascii="Times New Roman" w:hAnsi="Times New Roman" w:cs="Times New Roman"/>
          <w:color w:val="000000"/>
          <w:sz w:val="20"/>
          <w:szCs w:val="20"/>
        </w:rPr>
        <w:t>i</w:t>
      </w:r>
      <w:r>
        <w:rPr>
          <w:rFonts w:ascii="Times New Roman" w:hAnsi="Times New Roman" w:cs="Times New Roman"/>
          <w:color w:val="000000"/>
          <w:sz w:val="20"/>
          <w:szCs w:val="20"/>
        </w:rPr>
        <w:t xml:space="preserve">cation. See, </w:t>
      </w:r>
      <w:r>
        <w:rPr>
          <w:rFonts w:ascii="Times New Roman" w:hAnsi="Times New Roman" w:cs="Times New Roman"/>
          <w:i/>
          <w:iCs/>
          <w:color w:val="000000"/>
          <w:sz w:val="20"/>
          <w:szCs w:val="20"/>
        </w:rPr>
        <w:t xml:space="preserve">e.g., </w:t>
      </w:r>
      <w:hyperlink r:id="rId115" w:history="1">
        <w:r>
          <w:rPr>
            <w:rFonts w:ascii="Times New Roman" w:hAnsi="Times New Roman" w:cs="Times New Roman"/>
            <w:color w:val="0000FF"/>
            <w:sz w:val="20"/>
            <w:szCs w:val="20"/>
            <w:u w:val="single"/>
          </w:rPr>
          <w:t>7 U.S.C. § 1301(b)(8</w:t>
        </w:r>
        <w:r>
          <w:rPr>
            <w:rFonts w:ascii="Times New Roman" w:hAnsi="Times New Roman" w:cs="Times New Roman"/>
            <w:color w:val="0000FF"/>
            <w:sz w:val="20"/>
            <w:szCs w:val="20"/>
            <w:u w:val="single"/>
          </w:rPr>
          <w:t>)(B)</w:t>
        </w:r>
      </w:hyperlink>
      <w:r>
        <w:rPr>
          <w:rFonts w:ascii="Times New Roman" w:hAnsi="Times New Roman" w:cs="Times New Roman"/>
          <w:color w:val="000000"/>
          <w:sz w:val="20"/>
          <w:szCs w:val="20"/>
        </w:rPr>
        <w:t>. By co</w:t>
      </w:r>
      <w:r>
        <w:rPr>
          <w:rFonts w:ascii="Times New Roman" w:hAnsi="Times New Roman" w:cs="Times New Roman"/>
          <w:color w:val="000000"/>
          <w:sz w:val="20"/>
          <w:szCs w:val="20"/>
        </w:rPr>
        <w:t>n</w:t>
      </w:r>
      <w:r>
        <w:rPr>
          <w:rFonts w:ascii="Times New Roman" w:hAnsi="Times New Roman" w:cs="Times New Roman"/>
          <w:color w:val="000000"/>
          <w:sz w:val="20"/>
          <w:szCs w:val="20"/>
        </w:rPr>
        <w:t>trast, as the Bankruptcy Code shows, Congress can make its mandate of simple multiplication unamb</w:t>
      </w:r>
      <w:r>
        <w:rPr>
          <w:rFonts w:ascii="Times New Roman" w:hAnsi="Times New Roman" w:cs="Times New Roman"/>
          <w:color w:val="000000"/>
          <w:sz w:val="20"/>
          <w:szCs w:val="20"/>
        </w:rPr>
        <w:t>i</w:t>
      </w:r>
      <w:r>
        <w:rPr>
          <w:rFonts w:ascii="Times New Roman" w:hAnsi="Times New Roman" w:cs="Times New Roman"/>
          <w:color w:val="000000"/>
          <w:sz w:val="20"/>
          <w:szCs w:val="20"/>
        </w:rPr>
        <w:t xml:space="preserve">guous-commonly using the term </w:t>
      </w:r>
      <w:r>
        <w:rPr>
          <w:rFonts w:ascii="Times New Roman" w:hAnsi="Times New Roman" w:cs="Times New Roman"/>
          <w:color w:val="000000"/>
          <w:sz w:val="20"/>
          <w:szCs w:val="20"/>
        </w:rPr>
        <w:t>“</w:t>
      </w:r>
      <w:r>
        <w:rPr>
          <w:rFonts w:ascii="Times New Roman" w:hAnsi="Times New Roman" w:cs="Times New Roman"/>
          <w:color w:val="000000"/>
          <w:sz w:val="20"/>
          <w:szCs w:val="20"/>
        </w:rPr>
        <w:t>multiplied.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See, </w:t>
      </w:r>
      <w:r>
        <w:rPr>
          <w:rFonts w:ascii="Times New Roman" w:hAnsi="Times New Roman" w:cs="Times New Roman"/>
          <w:i/>
          <w:iCs/>
          <w:color w:val="000000"/>
          <w:sz w:val="20"/>
          <w:szCs w:val="20"/>
        </w:rPr>
        <w:t>e.g.,</w:t>
      </w:r>
      <w:r>
        <w:rPr>
          <w:rFonts w:ascii="Times New Roman" w:hAnsi="Times New Roman" w:cs="Times New Roman"/>
          <w:color w:val="000000"/>
          <w:sz w:val="20"/>
          <w:szCs w:val="20"/>
        </w:rPr>
        <w:t xml:space="preserve"> </w:t>
      </w:r>
      <w:hyperlink r:id="rId116" w:history="1">
        <w:r>
          <w:rPr>
            <w:rFonts w:ascii="Times New Roman" w:hAnsi="Times New Roman" w:cs="Times New Roman"/>
            <w:color w:val="0000FF"/>
            <w:sz w:val="20"/>
            <w:szCs w:val="20"/>
            <w:u w:val="single"/>
          </w:rPr>
          <w:t>11 U.S.C. § 1325(b)(3)</w:t>
        </w:r>
      </w:hyperlink>
      <w:r>
        <w:rPr>
          <w:rFonts w:ascii="Times New Roman" w:hAnsi="Times New Roman" w:cs="Times New Roman"/>
          <w:color w:val="000000"/>
          <w:sz w:val="20"/>
          <w:szCs w:val="20"/>
        </w:rPr>
        <w:t>. Third, under pre-BAPCPA case law, the general rule was that courts would multiply a debtor's current monthly income by the number of months in the co</w:t>
      </w:r>
      <w:r>
        <w:rPr>
          <w:rFonts w:ascii="Times New Roman" w:hAnsi="Times New Roman" w:cs="Times New Roman"/>
          <w:color w:val="000000"/>
          <w:sz w:val="20"/>
          <w:szCs w:val="20"/>
        </w:rPr>
        <w:t>m</w:t>
      </w:r>
      <w:r>
        <w:rPr>
          <w:rFonts w:ascii="Times New Roman" w:hAnsi="Times New Roman" w:cs="Times New Roman"/>
          <w:color w:val="000000"/>
          <w:sz w:val="20"/>
          <w:szCs w:val="20"/>
        </w:rPr>
        <w:t>mitment period as the first step in determining projected di</w:t>
      </w:r>
      <w:r>
        <w:rPr>
          <w:rFonts w:ascii="Times New Roman" w:hAnsi="Times New Roman" w:cs="Times New Roman"/>
          <w:color w:val="000000"/>
          <w:sz w:val="20"/>
          <w:szCs w:val="20"/>
        </w:rPr>
        <w:t>s</w:t>
      </w:r>
      <w:r>
        <w:rPr>
          <w:rFonts w:ascii="Times New Roman" w:hAnsi="Times New Roman" w:cs="Times New Roman"/>
          <w:color w:val="000000"/>
          <w:sz w:val="20"/>
          <w:szCs w:val="20"/>
        </w:rPr>
        <w:t xml:space="preserve">posable income, but would also have discretion to account for known or virtually certain changes in the debtor's income. This is significant, since the Court </w:t>
      </w:r>
      <w:r>
        <w:rPr>
          <w:rFonts w:ascii="Times New Roman" w:hAnsi="Times New Roman" w:cs="Times New Roman"/>
          <w:color w:val="000000"/>
          <w:sz w:val="20"/>
          <w:szCs w:val="20"/>
        </w:rPr>
        <w:t>“</w:t>
      </w:r>
      <w:r>
        <w:rPr>
          <w:rFonts w:ascii="Times New Roman" w:hAnsi="Times New Roman" w:cs="Times New Roman"/>
          <w:color w:val="000000"/>
          <w:sz w:val="20"/>
          <w:szCs w:val="20"/>
        </w:rPr>
        <w:t>will not read the Bankruptcy Code t</w:t>
      </w:r>
      <w:r>
        <w:rPr>
          <w:rFonts w:ascii="Times New Roman" w:hAnsi="Times New Roman" w:cs="Times New Roman"/>
          <w:color w:val="000000"/>
          <w:sz w:val="20"/>
          <w:szCs w:val="20"/>
        </w:rPr>
        <w:t>o erode past bankruptcy practice absent a clear indication that Congress intended such a departure,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117" w:history="1">
        <w:r>
          <w:rPr>
            <w:rFonts w:ascii="Times New Roman" w:hAnsi="Times New Roman" w:cs="Times New Roman"/>
            <w:i/>
            <w:iCs/>
            <w:color w:val="0000FF"/>
            <w:sz w:val="20"/>
            <w:szCs w:val="20"/>
            <w:u w:val="single"/>
          </w:rPr>
          <w:t>Travelers C</w:t>
        </w:r>
        <w:r>
          <w:rPr>
            <w:rFonts w:ascii="Times New Roman" w:hAnsi="Times New Roman" w:cs="Times New Roman"/>
            <w:i/>
            <w:iCs/>
            <w:color w:val="0000FF"/>
            <w:sz w:val="20"/>
            <w:szCs w:val="20"/>
            <w:u w:val="single"/>
          </w:rPr>
          <w:t>a</w:t>
        </w:r>
        <w:r>
          <w:rPr>
            <w:rFonts w:ascii="Times New Roman" w:hAnsi="Times New Roman" w:cs="Times New Roman"/>
            <w:i/>
            <w:iCs/>
            <w:color w:val="0000FF"/>
            <w:sz w:val="20"/>
            <w:szCs w:val="20"/>
            <w:u w:val="single"/>
          </w:rPr>
          <w:t>sualty &amp; Surety Co. of America v. Pac</w:t>
        </w:r>
        <w:r>
          <w:rPr>
            <w:rFonts w:ascii="Times New Roman" w:hAnsi="Times New Roman" w:cs="Times New Roman"/>
            <w:i/>
            <w:iCs/>
            <w:color w:val="0000FF"/>
            <w:sz w:val="20"/>
            <w:szCs w:val="20"/>
            <w:u w:val="single"/>
          </w:rPr>
          <w:t>ific Gas &amp; Elec. Co.,</w:t>
        </w:r>
      </w:hyperlink>
      <w:hyperlink r:id="rId118" w:history="1">
        <w:r>
          <w:rPr>
            <w:rFonts w:ascii="Times New Roman" w:hAnsi="Times New Roman" w:cs="Times New Roman"/>
            <w:color w:val="0000FF"/>
            <w:sz w:val="20"/>
            <w:szCs w:val="20"/>
            <w:u w:val="single"/>
          </w:rPr>
          <w:t xml:space="preserve"> 549 U.S. 443, 454, 127 S.Ct. 1199, 167 L.Ed.2d 178,</w:t>
        </w:r>
      </w:hyperlink>
      <w:r>
        <w:rPr>
          <w:rFonts w:ascii="Times New Roman" w:hAnsi="Times New Roman" w:cs="Times New Roman"/>
          <w:color w:val="000000"/>
          <w:sz w:val="20"/>
          <w:szCs w:val="20"/>
        </w:rPr>
        <w:t xml:space="preserve"> and Congress did not amend the term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2</w:t>
      </w:r>
      <w:r>
        <w:rPr>
          <w:rFonts w:ascii="Times New Roman" w:hAnsi="Times New Roman" w:cs="Times New Roman"/>
          <w:color w:val="000000"/>
          <w:sz w:val="20"/>
          <w:szCs w:val="20"/>
        </w:rPr>
        <w:t>005. Pp. ---- - ----.</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(b) The mechanical approach also clashes with </w:t>
      </w:r>
      <w:hyperlink r:id="rId119" w:history="1">
        <w:r>
          <w:rPr>
            <w:rFonts w:ascii="Times New Roman" w:hAnsi="Times New Roman" w:cs="Times New Roman"/>
            <w:color w:val="0000FF"/>
            <w:sz w:val="20"/>
            <w:szCs w:val="20"/>
            <w:u w:val="single"/>
          </w:rPr>
          <w:t>§ 1325</w:t>
        </w:r>
      </w:hyperlink>
      <w:r>
        <w:rPr>
          <w:rFonts w:ascii="Times New Roman" w:hAnsi="Times New Roman" w:cs="Times New Roman"/>
          <w:color w:val="000000"/>
          <w:sz w:val="20"/>
          <w:szCs w:val="20"/>
        </w:rPr>
        <w:t xml:space="preserve">'s terms. First, </w:t>
      </w:r>
      <w:hyperlink r:id="rId120" w:history="1">
        <w:r>
          <w:rPr>
            <w:rFonts w:ascii="Times New Roman" w:hAnsi="Times New Roman" w:cs="Times New Roman"/>
            <w:color w:val="0000FF"/>
            <w:sz w:val="20"/>
            <w:szCs w:val="20"/>
            <w:u w:val="single"/>
          </w:rPr>
          <w:t>§ 1325(b)(1)(B)</w:t>
        </w:r>
      </w:hyperlink>
      <w:r>
        <w:rPr>
          <w:rFonts w:ascii="Times New Roman" w:hAnsi="Times New Roman" w:cs="Times New Roman"/>
          <w:color w:val="000000"/>
          <w:sz w:val="20"/>
          <w:szCs w:val="20"/>
        </w:rPr>
        <w:t xml:space="preserve">'s reference to projected disposable income </w:t>
      </w:r>
      <w:r>
        <w:rPr>
          <w:rFonts w:ascii="Times New Roman" w:hAnsi="Times New Roman" w:cs="Times New Roman"/>
          <w:color w:val="000000"/>
          <w:sz w:val="20"/>
          <w:szCs w:val="20"/>
        </w:rPr>
        <w:t>“</w:t>
      </w:r>
      <w:r>
        <w:rPr>
          <w:rFonts w:ascii="Times New Roman" w:hAnsi="Times New Roman" w:cs="Times New Roman"/>
          <w:color w:val="000000"/>
          <w:sz w:val="20"/>
          <w:szCs w:val="20"/>
        </w:rPr>
        <w:t>to be received in the applicable commitment period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strongly favors the forwa</w:t>
      </w:r>
      <w:r>
        <w:rPr>
          <w:rFonts w:ascii="Times New Roman" w:hAnsi="Times New Roman" w:cs="Times New Roman"/>
          <w:color w:val="000000"/>
          <w:sz w:val="20"/>
          <w:szCs w:val="20"/>
        </w:rPr>
        <w:t>rd-looking approach. Because respondent would have far less than $756 per month in disposable i</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come during the plan period, petitioner's projection does not accurately reflect disposable income </w:t>
      </w:r>
      <w:r>
        <w:rPr>
          <w:rFonts w:ascii="Times New Roman" w:hAnsi="Times New Roman" w:cs="Times New Roman"/>
          <w:color w:val="000000"/>
          <w:sz w:val="20"/>
          <w:szCs w:val="20"/>
        </w:rPr>
        <w:t>“</w:t>
      </w:r>
      <w:r>
        <w:rPr>
          <w:rFonts w:ascii="Times New Roman" w:hAnsi="Times New Roman" w:cs="Times New Roman"/>
          <w:color w:val="000000"/>
          <w:sz w:val="20"/>
          <w:szCs w:val="20"/>
        </w:rPr>
        <w:t>to be received.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such circum</w:t>
      </w:r>
      <w:r>
        <w:rPr>
          <w:rFonts w:ascii="Times New Roman" w:hAnsi="Times New Roman" w:cs="Times New Roman"/>
          <w:color w:val="000000"/>
          <w:sz w:val="20"/>
          <w:szCs w:val="20"/>
        </w:rPr>
        <w:t>s</w:t>
      </w:r>
      <w:r>
        <w:rPr>
          <w:rFonts w:ascii="Times New Roman" w:hAnsi="Times New Roman" w:cs="Times New Roman"/>
          <w:color w:val="000000"/>
          <w:sz w:val="20"/>
          <w:szCs w:val="20"/>
        </w:rPr>
        <w:t>tances, the mechanical appro</w:t>
      </w:r>
      <w:r>
        <w:rPr>
          <w:rFonts w:ascii="Times New Roman" w:hAnsi="Times New Roman" w:cs="Times New Roman"/>
          <w:color w:val="000000"/>
          <w:sz w:val="20"/>
          <w:szCs w:val="20"/>
        </w:rPr>
        <w:t>ach effectively reads that phrase out of the st</w:t>
      </w:r>
      <w:r>
        <w:rPr>
          <w:rFonts w:ascii="Times New Roman" w:hAnsi="Times New Roman" w:cs="Times New Roman"/>
          <w:color w:val="000000"/>
          <w:sz w:val="20"/>
          <w:szCs w:val="20"/>
        </w:rPr>
        <w:t>a</w:t>
      </w:r>
      <w:r>
        <w:rPr>
          <w:rFonts w:ascii="Times New Roman" w:hAnsi="Times New Roman" w:cs="Times New Roman"/>
          <w:color w:val="000000"/>
          <w:sz w:val="20"/>
          <w:szCs w:val="20"/>
        </w:rPr>
        <w:t xml:space="preserve">tute. Second, </w:t>
      </w:r>
      <w:hyperlink r:id="rId121" w:history="1">
        <w:r>
          <w:rPr>
            <w:rFonts w:ascii="Times New Roman" w:hAnsi="Times New Roman" w:cs="Times New Roman"/>
            <w:color w:val="0000FF"/>
            <w:sz w:val="20"/>
            <w:szCs w:val="20"/>
            <w:u w:val="single"/>
          </w:rPr>
          <w:t>§ 1325(b)(1)</w:t>
        </w:r>
      </w:hyperlink>
      <w:r>
        <w:rPr>
          <w:rFonts w:ascii="Times New Roman" w:hAnsi="Times New Roman" w:cs="Times New Roman"/>
          <w:color w:val="000000"/>
          <w:sz w:val="20"/>
          <w:szCs w:val="20"/>
        </w:rPr>
        <w:t>'s directio</w:t>
      </w:r>
      <w:r>
        <w:rPr>
          <w:rFonts w:ascii="Times New Roman" w:hAnsi="Times New Roman" w:cs="Times New Roman"/>
          <w:color w:val="000000"/>
          <w:sz w:val="20"/>
          <w:szCs w:val="20"/>
        </w:rPr>
        <w:t xml:space="preserve">n to courts to determine projected disposable income </w:t>
      </w:r>
      <w:r>
        <w:rPr>
          <w:rFonts w:ascii="Times New Roman" w:hAnsi="Times New Roman" w:cs="Times New Roman"/>
          <w:color w:val="000000"/>
          <w:sz w:val="20"/>
          <w:szCs w:val="20"/>
        </w:rPr>
        <w:t>“</w:t>
      </w:r>
      <w:r>
        <w:rPr>
          <w:rFonts w:ascii="Times New Roman" w:hAnsi="Times New Roman" w:cs="Times New Roman"/>
          <w:color w:val="000000"/>
          <w:sz w:val="20"/>
          <w:szCs w:val="20"/>
        </w:rPr>
        <w:t>as of the effective date of the plan,</w:t>
      </w:r>
      <w:r>
        <w:rPr>
          <w:rFonts w:ascii="Times New Roman" w:hAnsi="Times New Roman" w:cs="Times New Roman"/>
          <w:color w:val="000000"/>
          <w:sz w:val="20"/>
          <w:szCs w:val="20"/>
        </w:rPr>
        <w:t>”</w:t>
      </w:r>
      <w:r>
        <w:rPr>
          <w:rFonts w:ascii="Times New Roman" w:hAnsi="Times New Roman" w:cs="Times New Roman"/>
          <w:color w:val="000000"/>
          <w:sz w:val="20"/>
          <w:szCs w:val="20"/>
        </w:rPr>
        <w:t>-</w:t>
      </w:r>
      <w:r>
        <w:rPr>
          <w:rFonts w:ascii="Times New Roman" w:hAnsi="Times New Roman" w:cs="Times New Roman"/>
          <w:i/>
          <w:iCs/>
          <w:color w:val="000000"/>
          <w:sz w:val="20"/>
          <w:szCs w:val="20"/>
        </w:rPr>
        <w:t xml:space="preserve">i.e., </w:t>
      </w:r>
      <w:r>
        <w:rPr>
          <w:rFonts w:ascii="Times New Roman" w:hAnsi="Times New Roman" w:cs="Times New Roman"/>
          <w:color w:val="000000"/>
          <w:sz w:val="20"/>
          <w:szCs w:val="20"/>
        </w:rPr>
        <w:t>the confirmation date-is more consistent with the view that they are to consider pos</w:t>
      </w:r>
      <w:r>
        <w:rPr>
          <w:rFonts w:ascii="Times New Roman" w:hAnsi="Times New Roman" w:cs="Times New Roman"/>
          <w:color w:val="000000"/>
          <w:sz w:val="20"/>
          <w:szCs w:val="20"/>
        </w:rPr>
        <w:t>t</w:t>
      </w:r>
      <w:r>
        <w:rPr>
          <w:rFonts w:ascii="Times New Roman" w:hAnsi="Times New Roman" w:cs="Times New Roman"/>
          <w:color w:val="000000"/>
          <w:sz w:val="20"/>
          <w:szCs w:val="20"/>
        </w:rPr>
        <w:t>filing information about a debtor's f</w:t>
      </w:r>
      <w:r>
        <w:rPr>
          <w:rFonts w:ascii="Times New Roman" w:hAnsi="Times New Roman" w:cs="Times New Roman"/>
          <w:color w:val="000000"/>
          <w:sz w:val="20"/>
          <w:szCs w:val="20"/>
        </w:rPr>
        <w:t>i</w:t>
      </w:r>
      <w:r>
        <w:rPr>
          <w:rFonts w:ascii="Times New Roman" w:hAnsi="Times New Roman" w:cs="Times New Roman"/>
          <w:color w:val="000000"/>
          <w:sz w:val="20"/>
          <w:szCs w:val="20"/>
        </w:rPr>
        <w:lastRenderedPageBreak/>
        <w:t>nancial situation. Had Congress in</w:t>
      </w:r>
      <w:r>
        <w:rPr>
          <w:rFonts w:ascii="Times New Roman" w:hAnsi="Times New Roman" w:cs="Times New Roman"/>
          <w:color w:val="000000"/>
          <w:sz w:val="20"/>
          <w:szCs w:val="20"/>
        </w:rPr>
        <w:t xml:space="preserve">tended for projected disposable income to be no more than a multiple of disposable income, it could have specified the plan's </w:t>
      </w:r>
      <w:r>
        <w:rPr>
          <w:rFonts w:ascii="Times New Roman" w:hAnsi="Times New Roman" w:cs="Times New Roman"/>
          <w:i/>
          <w:iCs/>
          <w:color w:val="000000"/>
          <w:sz w:val="20"/>
          <w:szCs w:val="20"/>
        </w:rPr>
        <w:t>filing</w:t>
      </w:r>
      <w:r>
        <w:rPr>
          <w:rFonts w:ascii="Times New Roman" w:hAnsi="Times New Roman" w:cs="Times New Roman"/>
          <w:color w:val="000000"/>
          <w:sz w:val="20"/>
          <w:szCs w:val="20"/>
        </w:rPr>
        <w:t xml:space="preserve"> date as the effective date. Third, </w:t>
      </w:r>
      <w:hyperlink r:id="rId122" w:history="1">
        <w:r>
          <w:rPr>
            <w:rFonts w:ascii="Times New Roman" w:hAnsi="Times New Roman" w:cs="Times New Roman"/>
            <w:color w:val="0000FF"/>
            <w:sz w:val="20"/>
            <w:szCs w:val="20"/>
            <w:u w:val="single"/>
          </w:rPr>
          <w:t>§ 1325(b)(1)(B)</w:t>
        </w:r>
      </w:hyperlink>
      <w:r>
        <w:rPr>
          <w:rFonts w:ascii="Times New Roman" w:hAnsi="Times New Roman" w:cs="Times New Roman"/>
          <w:color w:val="000000"/>
          <w:sz w:val="20"/>
          <w:szCs w:val="20"/>
        </w:rPr>
        <w:t>'s requirement that projected dispos</w:t>
      </w:r>
      <w:r>
        <w:rPr>
          <w:rFonts w:ascii="Times New Roman" w:hAnsi="Times New Roman" w:cs="Times New Roman"/>
          <w:color w:val="000000"/>
          <w:sz w:val="20"/>
          <w:szCs w:val="20"/>
        </w:rPr>
        <w:t>a</w:t>
      </w:r>
      <w:r>
        <w:rPr>
          <w:rFonts w:ascii="Times New Roman" w:hAnsi="Times New Roman" w:cs="Times New Roman"/>
          <w:color w:val="000000"/>
          <w:sz w:val="20"/>
          <w:szCs w:val="20"/>
        </w:rPr>
        <w:t xml:space="preserve">ble income </w:t>
      </w:r>
      <w:r>
        <w:rPr>
          <w:rFonts w:ascii="Times New Roman" w:hAnsi="Times New Roman" w:cs="Times New Roman"/>
          <w:color w:val="000000"/>
          <w:sz w:val="20"/>
          <w:szCs w:val="20"/>
        </w:rPr>
        <w:t>“</w:t>
      </w:r>
      <w:r>
        <w:rPr>
          <w:rFonts w:ascii="Times New Roman" w:hAnsi="Times New Roman" w:cs="Times New Roman"/>
          <w:color w:val="000000"/>
          <w:sz w:val="20"/>
          <w:szCs w:val="20"/>
        </w:rPr>
        <w:t>will be applied to make payments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is re</w:t>
      </w:r>
      <w:r>
        <w:rPr>
          <w:rFonts w:ascii="Times New Roman" w:hAnsi="Times New Roman" w:cs="Times New Roman"/>
          <w:color w:val="000000"/>
          <w:sz w:val="20"/>
          <w:szCs w:val="20"/>
        </w:rPr>
        <w:t>n</w:t>
      </w:r>
      <w:r>
        <w:rPr>
          <w:rFonts w:ascii="Times New Roman" w:hAnsi="Times New Roman" w:cs="Times New Roman"/>
          <w:color w:val="000000"/>
          <w:sz w:val="20"/>
          <w:szCs w:val="20"/>
        </w:rPr>
        <w:t>dered a hollow command if, as of the plan's effective date, the debto</w:t>
      </w:r>
      <w:r>
        <w:rPr>
          <w:rFonts w:ascii="Times New Roman" w:hAnsi="Times New Roman" w:cs="Times New Roman"/>
          <w:color w:val="000000"/>
          <w:sz w:val="20"/>
          <w:szCs w:val="20"/>
        </w:rPr>
        <w:t>r lacks the means to pay creditors in the calculated monthly amounts. Pp. ---- - ----.</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(c) The arguments supporting the mechanical a</w:t>
      </w:r>
      <w:r>
        <w:rPr>
          <w:rFonts w:ascii="Times New Roman" w:hAnsi="Times New Roman" w:cs="Times New Roman"/>
          <w:color w:val="000000"/>
          <w:sz w:val="20"/>
          <w:szCs w:val="20"/>
        </w:rPr>
        <w:t>p</w:t>
      </w:r>
      <w:r>
        <w:rPr>
          <w:rFonts w:ascii="Times New Roman" w:hAnsi="Times New Roman" w:cs="Times New Roman"/>
          <w:color w:val="000000"/>
          <w:sz w:val="20"/>
          <w:szCs w:val="20"/>
        </w:rPr>
        <w:t xml:space="preserve">proach are unpersuasive. The claim that the Code's detailed and precise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def</w:t>
      </w:r>
      <w:r>
        <w:rPr>
          <w:rFonts w:ascii="Times New Roman" w:hAnsi="Times New Roman" w:cs="Times New Roman"/>
          <w:color w:val="000000"/>
          <w:sz w:val="20"/>
          <w:szCs w:val="20"/>
        </w:rPr>
        <w:t>i</w:t>
      </w:r>
      <w:r>
        <w:rPr>
          <w:rFonts w:ascii="Times New Roman" w:hAnsi="Times New Roman" w:cs="Times New Roman"/>
          <w:color w:val="000000"/>
          <w:sz w:val="20"/>
          <w:szCs w:val="20"/>
        </w:rPr>
        <w:t>nition would have no purpo</w:t>
      </w:r>
      <w:r>
        <w:rPr>
          <w:rFonts w:ascii="Times New Roman" w:hAnsi="Times New Roman" w:cs="Times New Roman"/>
          <w:color w:val="000000"/>
          <w:sz w:val="20"/>
          <w:szCs w:val="20"/>
        </w:rPr>
        <w:t>se without the mechanical a</w:t>
      </w:r>
      <w:r>
        <w:rPr>
          <w:rFonts w:ascii="Times New Roman" w:hAnsi="Times New Roman" w:cs="Times New Roman"/>
          <w:color w:val="000000"/>
          <w:sz w:val="20"/>
          <w:szCs w:val="20"/>
        </w:rPr>
        <w:t>p</w:t>
      </w:r>
      <w:r>
        <w:rPr>
          <w:rFonts w:ascii="Times New Roman" w:hAnsi="Times New Roman" w:cs="Times New Roman"/>
          <w:color w:val="000000"/>
          <w:sz w:val="20"/>
          <w:szCs w:val="20"/>
        </w:rPr>
        <w:t>proach overlooks the important role that this statutory formula plays under the fo</w:t>
      </w:r>
      <w:r>
        <w:rPr>
          <w:rFonts w:ascii="Times New Roman" w:hAnsi="Times New Roman" w:cs="Times New Roman"/>
          <w:color w:val="000000"/>
          <w:sz w:val="20"/>
          <w:szCs w:val="20"/>
        </w:rPr>
        <w:t>r</w:t>
      </w:r>
      <w:r>
        <w:rPr>
          <w:rFonts w:ascii="Times New Roman" w:hAnsi="Times New Roman" w:cs="Times New Roman"/>
          <w:color w:val="000000"/>
          <w:sz w:val="20"/>
          <w:szCs w:val="20"/>
        </w:rPr>
        <w:t xml:space="preserve">ward-looking approach, which begins with a disposable income calculation. The Tenth Circuit's rebuttable </w:t>
      </w:r>
      <w:r>
        <w:rPr>
          <w:rFonts w:ascii="Times New Roman" w:hAnsi="Times New Roman" w:cs="Times New Roman"/>
          <w:color w:val="000000"/>
          <w:sz w:val="20"/>
          <w:szCs w:val="20"/>
        </w:rPr>
        <w:t>“</w:t>
      </w:r>
      <w:r>
        <w:rPr>
          <w:rFonts w:ascii="Times New Roman" w:hAnsi="Times New Roman" w:cs="Times New Roman"/>
          <w:color w:val="000000"/>
          <w:sz w:val="20"/>
          <w:szCs w:val="20"/>
        </w:rPr>
        <w:t>presumption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analysis simply heeds the </w:t>
      </w:r>
      <w:r>
        <w:rPr>
          <w:rFonts w:ascii="Times New Roman" w:hAnsi="Times New Roman" w:cs="Times New Roman"/>
          <w:color w:val="000000"/>
          <w:sz w:val="20"/>
          <w:szCs w:val="20"/>
        </w:rPr>
        <w:t xml:space="preserve">ordinary meaning of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This Court rejects petitioner's argument that only the mechanical approach is consistent with § 1129(a)(15)(B), which refers to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projected disposable income of the debtor (as defined in </w:t>
      </w:r>
      <w:hyperlink r:id="rId123" w:history="1">
        <w:r>
          <w:rPr>
            <w:rFonts w:ascii="Times New Roman" w:hAnsi="Times New Roman" w:cs="Times New Roman"/>
            <w:color w:val="0000FF"/>
            <w:sz w:val="20"/>
            <w:szCs w:val="20"/>
            <w:u w:val="single"/>
          </w:rPr>
          <w:t>section 1325(b)(2)</w:t>
        </w:r>
      </w:hyperlink>
      <w:r>
        <w:rPr>
          <w:rFonts w:ascii="Times New Roman" w:hAnsi="Times New Roman" w:cs="Times New Roman"/>
          <w:color w:val="000000"/>
          <w:sz w:val="20"/>
          <w:szCs w:val="20"/>
        </w:rPr>
        <w:t>).</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And the Court declines to infer from the fact that </w:t>
      </w:r>
      <w:hyperlink r:id="rId124" w:history="1">
        <w:r>
          <w:rPr>
            <w:rFonts w:ascii="Times New Roman" w:hAnsi="Times New Roman" w:cs="Times New Roman"/>
            <w:color w:val="0000FF"/>
            <w:sz w:val="20"/>
            <w:szCs w:val="20"/>
            <w:u w:val="single"/>
          </w:rPr>
          <w:t>§ 1325(b)(3)</w:t>
        </w:r>
      </w:hyperlink>
      <w:r>
        <w:rPr>
          <w:rFonts w:ascii="Times New Roman" w:hAnsi="Times New Roman" w:cs="Times New Roman"/>
          <w:color w:val="000000"/>
          <w:sz w:val="20"/>
          <w:szCs w:val="20"/>
        </w:rPr>
        <w:t xml:space="preserve"> incorporates </w:t>
      </w:r>
      <w:hyperlink r:id="rId125" w:history="1">
        <w:r>
          <w:rPr>
            <w:rFonts w:ascii="Times New Roman" w:hAnsi="Times New Roman" w:cs="Times New Roman"/>
            <w:color w:val="0000FF"/>
            <w:sz w:val="20"/>
            <w:szCs w:val="20"/>
            <w:u w:val="single"/>
          </w:rPr>
          <w:t>§ 707</w:t>
        </w:r>
      </w:hyperlink>
      <w:r>
        <w:rPr>
          <w:rFonts w:ascii="Times New Roman" w:hAnsi="Times New Roman" w:cs="Times New Roman"/>
          <w:color w:val="000000"/>
          <w:sz w:val="20"/>
          <w:szCs w:val="20"/>
        </w:rPr>
        <w:t xml:space="preserve">-which allows courts to consider </w:t>
      </w:r>
      <w:r>
        <w:rPr>
          <w:rFonts w:ascii="Times New Roman" w:hAnsi="Times New Roman" w:cs="Times New Roman"/>
          <w:color w:val="000000"/>
          <w:sz w:val="20"/>
          <w:szCs w:val="20"/>
        </w:rPr>
        <w:t>“</w:t>
      </w:r>
      <w:r>
        <w:rPr>
          <w:rFonts w:ascii="Times New Roman" w:hAnsi="Times New Roman" w:cs="Times New Roman"/>
          <w:color w:val="000000"/>
          <w:sz w:val="20"/>
          <w:szCs w:val="20"/>
        </w:rPr>
        <w:t>special circumstances,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but only with respect to calculating expenses-that Congress intended to eliminate, </w:t>
      </w:r>
      <w:r>
        <w:rPr>
          <w:rFonts w:ascii="Times New Roman" w:hAnsi="Times New Roman" w:cs="Times New Roman"/>
          <w:i/>
          <w:iCs/>
          <w:color w:val="000000"/>
          <w:sz w:val="20"/>
          <w:szCs w:val="20"/>
        </w:rPr>
        <w:t>sub silentio,</w:t>
      </w:r>
      <w:r>
        <w:rPr>
          <w:rFonts w:ascii="Times New Roman" w:hAnsi="Times New Roman" w:cs="Times New Roman"/>
          <w:color w:val="000000"/>
          <w:sz w:val="20"/>
          <w:szCs w:val="20"/>
        </w:rPr>
        <w:t xml:space="preserve"> the discretion that courts previously exercised to account for known or virtually certain cha</w:t>
      </w:r>
      <w:r>
        <w:rPr>
          <w:rFonts w:ascii="Times New Roman" w:hAnsi="Times New Roman" w:cs="Times New Roman"/>
          <w:color w:val="000000"/>
          <w:sz w:val="20"/>
          <w:szCs w:val="20"/>
        </w:rPr>
        <w:t>nges. Pp. ---- - ----.</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*3</w:t>
      </w:r>
      <w:r>
        <w:rPr>
          <w:rFonts w:ascii="Times New Roman" w:hAnsi="Times New Roman" w:cs="Times New Roman"/>
          <w:color w:val="000000"/>
          <w:sz w:val="20"/>
          <w:szCs w:val="20"/>
        </w:rPr>
        <w:t xml:space="preserve"> (d) Petitioner's proposed strategies for avoiding or mitigating the harsh results that the mechanical a</w:t>
      </w:r>
      <w:r>
        <w:rPr>
          <w:rFonts w:ascii="Times New Roman" w:hAnsi="Times New Roman" w:cs="Times New Roman"/>
          <w:color w:val="000000"/>
          <w:sz w:val="20"/>
          <w:szCs w:val="20"/>
        </w:rPr>
        <w:t>p</w:t>
      </w:r>
      <w:r>
        <w:rPr>
          <w:rFonts w:ascii="Times New Roman" w:hAnsi="Times New Roman" w:cs="Times New Roman"/>
          <w:color w:val="000000"/>
          <w:sz w:val="20"/>
          <w:szCs w:val="20"/>
        </w:rPr>
        <w:t>proach may produce for debtors-a debtor could delay filing a petition so as to place any extraordinary i</w:t>
      </w:r>
      <w:r>
        <w:rPr>
          <w:rFonts w:ascii="Times New Roman" w:hAnsi="Times New Roman" w:cs="Times New Roman"/>
          <w:color w:val="000000"/>
          <w:sz w:val="20"/>
          <w:szCs w:val="20"/>
        </w:rPr>
        <w:t>n</w:t>
      </w:r>
      <w:r>
        <w:rPr>
          <w:rFonts w:ascii="Times New Roman" w:hAnsi="Times New Roman" w:cs="Times New Roman"/>
          <w:color w:val="000000"/>
          <w:sz w:val="20"/>
          <w:szCs w:val="20"/>
        </w:rPr>
        <w:t>come outside the 6-month period; a debtor with</w:t>
      </w:r>
      <w:r>
        <w:rPr>
          <w:rFonts w:ascii="Times New Roman" w:hAnsi="Times New Roman" w:cs="Times New Roman"/>
          <w:color w:val="000000"/>
          <w:sz w:val="20"/>
          <w:szCs w:val="20"/>
        </w:rPr>
        <w:t xml:space="preserve"> u</w:t>
      </w:r>
      <w:r>
        <w:rPr>
          <w:rFonts w:ascii="Times New Roman" w:hAnsi="Times New Roman" w:cs="Times New Roman"/>
          <w:color w:val="000000"/>
          <w:sz w:val="20"/>
          <w:szCs w:val="20"/>
        </w:rPr>
        <w:t>n</w:t>
      </w:r>
      <w:r>
        <w:rPr>
          <w:rFonts w:ascii="Times New Roman" w:hAnsi="Times New Roman" w:cs="Times New Roman"/>
          <w:color w:val="000000"/>
          <w:sz w:val="20"/>
          <w:szCs w:val="20"/>
        </w:rPr>
        <w:t>usually high income during that period could seek leave to delay filing a schedule of current income and ask the bankruptcy court to select a 6-month period more representative of the debtor's future disposable income; a debtor could dismiss the petitio</w:t>
      </w:r>
      <w:r>
        <w:rPr>
          <w:rFonts w:ascii="Times New Roman" w:hAnsi="Times New Roman" w:cs="Times New Roman"/>
          <w:color w:val="000000"/>
          <w:sz w:val="20"/>
          <w:szCs w:val="20"/>
        </w:rPr>
        <w:t>n and refile at a later, more favorable date; and respondent might have been able to obtain relief by filing under Chapter 7 or converting her Chapter 13 petition to one under Chapter 7-are all flawed. Pp. ---- - ----.</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w:t>
      </w:r>
      <w:hyperlink r:id="rId126" w:history="1">
        <w:r>
          <w:rPr>
            <w:rFonts w:ascii="Times New Roman" w:hAnsi="Times New Roman" w:cs="Times New Roman"/>
            <w:color w:val="0000FF"/>
            <w:sz w:val="20"/>
            <w:szCs w:val="20"/>
            <w:u w:val="single"/>
          </w:rPr>
          <w:t>545 F.3d 1269,</w:t>
        </w:r>
      </w:hyperlink>
      <w:r>
        <w:rPr>
          <w:rFonts w:ascii="Times New Roman" w:hAnsi="Times New Roman" w:cs="Times New Roman"/>
          <w:color w:val="000000"/>
          <w:sz w:val="20"/>
          <w:szCs w:val="20"/>
        </w:rPr>
        <w:t xml:space="preserve"> affirmed.</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127" w:history="1">
        <w:r>
          <w:rPr>
            <w:rFonts w:ascii="Times New Roman" w:hAnsi="Times New Roman" w:cs="Times New Roman"/>
            <w:color w:val="0000FF"/>
            <w:sz w:val="20"/>
            <w:szCs w:val="20"/>
            <w:u w:val="single"/>
          </w:rPr>
          <w:t>ALITO</w:t>
        </w:r>
      </w:hyperlink>
      <w:r>
        <w:rPr>
          <w:rFonts w:ascii="Times New Roman" w:hAnsi="Times New Roman" w:cs="Times New Roman"/>
          <w:color w:val="000000"/>
          <w:sz w:val="20"/>
          <w:szCs w:val="20"/>
        </w:rPr>
        <w:t xml:space="preserve">, J., delivered the opinion of the </w:t>
      </w:r>
      <w:r>
        <w:rPr>
          <w:rFonts w:ascii="Times New Roman" w:hAnsi="Times New Roman" w:cs="Times New Roman"/>
          <w:color w:val="000000"/>
          <w:sz w:val="20"/>
          <w:szCs w:val="20"/>
        </w:rPr>
        <w:t xml:space="preserve">Court, in which </w:t>
      </w:r>
      <w:hyperlink r:id="rId128" w:history="1">
        <w:r>
          <w:rPr>
            <w:rFonts w:ascii="Times New Roman" w:hAnsi="Times New Roman" w:cs="Times New Roman"/>
            <w:color w:val="0000FF"/>
            <w:sz w:val="20"/>
            <w:szCs w:val="20"/>
            <w:u w:val="single"/>
          </w:rPr>
          <w:t>ROBERTS</w:t>
        </w:r>
      </w:hyperlink>
      <w:r>
        <w:rPr>
          <w:rFonts w:ascii="Times New Roman" w:hAnsi="Times New Roman" w:cs="Times New Roman"/>
          <w:color w:val="000000"/>
          <w:sz w:val="20"/>
          <w:szCs w:val="20"/>
        </w:rPr>
        <w:t xml:space="preserve">, C.J., and </w:t>
      </w:r>
      <w:hyperlink r:id="rId129" w:history="1">
        <w:r>
          <w:rPr>
            <w:rFonts w:ascii="Times New Roman" w:hAnsi="Times New Roman" w:cs="Times New Roman"/>
            <w:color w:val="0000FF"/>
            <w:sz w:val="20"/>
            <w:szCs w:val="20"/>
            <w:u w:val="single"/>
          </w:rPr>
          <w:t>STEVENS</w:t>
        </w:r>
      </w:hyperlink>
      <w:r>
        <w:rPr>
          <w:rFonts w:ascii="Times New Roman" w:hAnsi="Times New Roman" w:cs="Times New Roman"/>
          <w:color w:val="000000"/>
          <w:sz w:val="20"/>
          <w:szCs w:val="20"/>
        </w:rPr>
        <w:t xml:space="preserve">, </w:t>
      </w:r>
      <w:hyperlink r:id="rId130" w:history="1">
        <w:r>
          <w:rPr>
            <w:rFonts w:ascii="Times New Roman" w:hAnsi="Times New Roman" w:cs="Times New Roman"/>
            <w:color w:val="0000FF"/>
            <w:sz w:val="20"/>
            <w:szCs w:val="20"/>
            <w:u w:val="single"/>
          </w:rPr>
          <w:t>KENNEDY</w:t>
        </w:r>
      </w:hyperlink>
      <w:r>
        <w:rPr>
          <w:rFonts w:ascii="Times New Roman" w:hAnsi="Times New Roman" w:cs="Times New Roman"/>
          <w:color w:val="000000"/>
          <w:sz w:val="20"/>
          <w:szCs w:val="20"/>
        </w:rPr>
        <w:t xml:space="preserve">, </w:t>
      </w:r>
      <w:hyperlink r:id="rId131" w:history="1">
        <w:r>
          <w:rPr>
            <w:rFonts w:ascii="Times New Roman" w:hAnsi="Times New Roman" w:cs="Times New Roman"/>
            <w:color w:val="0000FF"/>
            <w:sz w:val="20"/>
            <w:szCs w:val="20"/>
            <w:u w:val="single"/>
          </w:rPr>
          <w:t>THOMAS</w:t>
        </w:r>
      </w:hyperlink>
      <w:r>
        <w:rPr>
          <w:rFonts w:ascii="Times New Roman" w:hAnsi="Times New Roman" w:cs="Times New Roman"/>
          <w:color w:val="000000"/>
          <w:sz w:val="20"/>
          <w:szCs w:val="20"/>
        </w:rPr>
        <w:t xml:space="preserve">, </w:t>
      </w:r>
      <w:hyperlink r:id="rId132" w:history="1">
        <w:r>
          <w:rPr>
            <w:rFonts w:ascii="Times New Roman" w:hAnsi="Times New Roman" w:cs="Times New Roman"/>
            <w:color w:val="0000FF"/>
            <w:sz w:val="20"/>
            <w:szCs w:val="20"/>
            <w:u w:val="single"/>
          </w:rPr>
          <w:t>GINSBURG</w:t>
        </w:r>
      </w:hyperlink>
      <w:r>
        <w:rPr>
          <w:rFonts w:ascii="Times New Roman" w:hAnsi="Times New Roman" w:cs="Times New Roman"/>
          <w:color w:val="000000"/>
          <w:sz w:val="20"/>
          <w:szCs w:val="20"/>
        </w:rPr>
        <w:t xml:space="preserve">, </w:t>
      </w:r>
      <w:hyperlink r:id="rId133" w:history="1">
        <w:r>
          <w:rPr>
            <w:rFonts w:ascii="Times New Roman" w:hAnsi="Times New Roman" w:cs="Times New Roman"/>
            <w:color w:val="0000FF"/>
            <w:sz w:val="20"/>
            <w:szCs w:val="20"/>
            <w:u w:val="single"/>
          </w:rPr>
          <w:t>BREY</w:t>
        </w:r>
        <w:r>
          <w:rPr>
            <w:rFonts w:ascii="Times New Roman" w:hAnsi="Times New Roman" w:cs="Times New Roman"/>
            <w:color w:val="0000FF"/>
            <w:sz w:val="20"/>
            <w:szCs w:val="20"/>
            <w:u w:val="single"/>
          </w:rPr>
          <w:t>ER</w:t>
        </w:r>
      </w:hyperlink>
      <w:r>
        <w:rPr>
          <w:rFonts w:ascii="Times New Roman" w:hAnsi="Times New Roman" w:cs="Times New Roman"/>
          <w:color w:val="000000"/>
          <w:sz w:val="20"/>
          <w:szCs w:val="20"/>
        </w:rPr>
        <w:t xml:space="preserve">, and </w:t>
      </w:r>
      <w:hyperlink r:id="rId134" w:history="1">
        <w:r>
          <w:rPr>
            <w:rFonts w:ascii="Times New Roman" w:hAnsi="Times New Roman" w:cs="Times New Roman"/>
            <w:color w:val="0000FF"/>
            <w:sz w:val="20"/>
            <w:szCs w:val="20"/>
            <w:u w:val="single"/>
          </w:rPr>
          <w:t>SOT</w:t>
        </w:r>
        <w:r>
          <w:rPr>
            <w:rFonts w:ascii="Times New Roman" w:hAnsi="Times New Roman" w:cs="Times New Roman"/>
            <w:color w:val="0000FF"/>
            <w:sz w:val="20"/>
            <w:szCs w:val="20"/>
            <w:u w:val="single"/>
          </w:rPr>
          <w:t>O</w:t>
        </w:r>
        <w:r>
          <w:rPr>
            <w:rFonts w:ascii="Times New Roman" w:hAnsi="Times New Roman" w:cs="Times New Roman"/>
            <w:color w:val="0000FF"/>
            <w:sz w:val="20"/>
            <w:szCs w:val="20"/>
            <w:u w:val="single"/>
          </w:rPr>
          <w:lastRenderedPageBreak/>
          <w:t>MAYOR</w:t>
        </w:r>
      </w:hyperlink>
      <w:r>
        <w:rPr>
          <w:rFonts w:ascii="Times New Roman" w:hAnsi="Times New Roman" w:cs="Times New Roman"/>
          <w:color w:val="000000"/>
          <w:sz w:val="20"/>
          <w:szCs w:val="20"/>
        </w:rPr>
        <w:t xml:space="preserve">, JJ., joined. </w:t>
      </w:r>
      <w:hyperlink r:id="rId135" w:history="1">
        <w:r>
          <w:rPr>
            <w:rFonts w:ascii="Times New Roman" w:hAnsi="Times New Roman" w:cs="Times New Roman"/>
            <w:color w:val="0000FF"/>
            <w:sz w:val="20"/>
            <w:szCs w:val="20"/>
            <w:u w:val="single"/>
          </w:rPr>
          <w:t>SCALIA</w:t>
        </w:r>
      </w:hyperlink>
      <w:r>
        <w:rPr>
          <w:rFonts w:ascii="Times New Roman" w:hAnsi="Times New Roman" w:cs="Times New Roman"/>
          <w:color w:val="000000"/>
          <w:sz w:val="20"/>
          <w:szCs w:val="20"/>
        </w:rPr>
        <w:t>, J., filed a dissenting opinion.</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136" w:history="1">
        <w:r>
          <w:rPr>
            <w:rFonts w:ascii="Times New Roman" w:hAnsi="Times New Roman" w:cs="Times New Roman"/>
            <w:color w:val="0000FF"/>
            <w:sz w:val="20"/>
            <w:szCs w:val="20"/>
            <w:u w:val="single"/>
          </w:rPr>
          <w:t>Jan Hamilton</w:t>
        </w:r>
      </w:hyperlink>
      <w:r>
        <w:rPr>
          <w:rFonts w:ascii="Times New Roman" w:hAnsi="Times New Roman" w:cs="Times New Roman"/>
          <w:color w:val="000000"/>
          <w:sz w:val="20"/>
          <w:szCs w:val="20"/>
        </w:rPr>
        <w:t>, Topeka, KS, for petitioner.</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137" w:history="1">
        <w:r>
          <w:rPr>
            <w:rFonts w:ascii="Times New Roman" w:hAnsi="Times New Roman" w:cs="Times New Roman"/>
            <w:color w:val="0000FF"/>
            <w:sz w:val="20"/>
            <w:szCs w:val="20"/>
            <w:u w:val="single"/>
          </w:rPr>
          <w:t>Thomas C. Goldstein</w:t>
        </w:r>
      </w:hyperlink>
      <w:r>
        <w:rPr>
          <w:rFonts w:ascii="Times New Roman" w:hAnsi="Times New Roman" w:cs="Times New Roman"/>
          <w:color w:val="000000"/>
          <w:sz w:val="20"/>
          <w:szCs w:val="20"/>
        </w:rPr>
        <w:t>, Washington, DC, for respo</w:t>
      </w:r>
      <w:r>
        <w:rPr>
          <w:rFonts w:ascii="Times New Roman" w:hAnsi="Times New Roman" w:cs="Times New Roman"/>
          <w:color w:val="000000"/>
          <w:sz w:val="20"/>
          <w:szCs w:val="20"/>
        </w:rPr>
        <w:t>n</w:t>
      </w:r>
      <w:r>
        <w:rPr>
          <w:rFonts w:ascii="Times New Roman" w:hAnsi="Times New Roman" w:cs="Times New Roman"/>
          <w:color w:val="000000"/>
          <w:sz w:val="20"/>
          <w:szCs w:val="20"/>
        </w:rPr>
        <w:t>dent.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Sarah Harrington for United States as amicus curiae, by special leave of the Court, supporting the respo</w:t>
      </w:r>
      <w:r>
        <w:rPr>
          <w:rFonts w:ascii="Times New Roman" w:hAnsi="Times New Roman" w:cs="Times New Roman"/>
          <w:color w:val="000000"/>
          <w:sz w:val="20"/>
          <w:szCs w:val="20"/>
        </w:rPr>
        <w:t>n</w:t>
      </w:r>
      <w:r>
        <w:rPr>
          <w:rFonts w:ascii="Times New Roman" w:hAnsi="Times New Roman" w:cs="Times New Roman"/>
          <w:color w:val="000000"/>
          <w:sz w:val="20"/>
          <w:szCs w:val="20"/>
        </w:rPr>
        <w:t>dent.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138" w:history="1">
        <w:r>
          <w:rPr>
            <w:rFonts w:ascii="Times New Roman" w:hAnsi="Times New Roman" w:cs="Times New Roman"/>
            <w:color w:val="0000FF"/>
            <w:sz w:val="20"/>
            <w:szCs w:val="20"/>
            <w:u w:val="single"/>
          </w:rPr>
          <w:t>Jan Hamilton</w:t>
        </w:r>
      </w:hyperlink>
      <w:r>
        <w:rPr>
          <w:rFonts w:ascii="Times New Roman" w:hAnsi="Times New Roman" w:cs="Times New Roman"/>
          <w:color w:val="000000"/>
          <w:sz w:val="20"/>
          <w:szCs w:val="20"/>
        </w:rPr>
        <w:t xml:space="preserve">, Trustee, Counsel of Record, </w:t>
      </w:r>
      <w:hyperlink r:id="rId139" w:history="1">
        <w:r>
          <w:rPr>
            <w:rFonts w:ascii="Times New Roman" w:hAnsi="Times New Roman" w:cs="Times New Roman"/>
            <w:color w:val="0000FF"/>
            <w:sz w:val="20"/>
            <w:szCs w:val="20"/>
            <w:u w:val="single"/>
          </w:rPr>
          <w:t>Teres</w:t>
        </w:r>
        <w:r>
          <w:rPr>
            <w:rFonts w:ascii="Times New Roman" w:hAnsi="Times New Roman" w:cs="Times New Roman"/>
            <w:color w:val="0000FF"/>
            <w:sz w:val="20"/>
            <w:szCs w:val="20"/>
            <w:u w:val="single"/>
          </w:rPr>
          <w:t>a L. Rhodd</w:t>
        </w:r>
      </w:hyperlink>
      <w:r>
        <w:rPr>
          <w:rFonts w:ascii="Times New Roman" w:hAnsi="Times New Roman" w:cs="Times New Roman"/>
          <w:color w:val="000000"/>
          <w:sz w:val="20"/>
          <w:szCs w:val="20"/>
        </w:rPr>
        <w:t>, Staff Attorney, Chapter 13 Trustee's Office, Topeka, KS, for petitioner.</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140" w:history="1">
        <w:r>
          <w:rPr>
            <w:rFonts w:ascii="Times New Roman" w:hAnsi="Times New Roman" w:cs="Times New Roman"/>
            <w:color w:val="0000FF"/>
            <w:sz w:val="20"/>
            <w:szCs w:val="20"/>
            <w:u w:val="single"/>
          </w:rPr>
          <w:t>Amy Howe</w:t>
        </w:r>
      </w:hyperlink>
      <w:r>
        <w:rPr>
          <w:rFonts w:ascii="Times New Roman" w:hAnsi="Times New Roman" w:cs="Times New Roman"/>
          <w:color w:val="000000"/>
          <w:sz w:val="20"/>
          <w:szCs w:val="20"/>
        </w:rPr>
        <w:t xml:space="preserve">, </w:t>
      </w:r>
      <w:hyperlink r:id="rId141" w:history="1">
        <w:r>
          <w:rPr>
            <w:rFonts w:ascii="Times New Roman" w:hAnsi="Times New Roman" w:cs="Times New Roman"/>
            <w:color w:val="0000FF"/>
            <w:sz w:val="20"/>
            <w:szCs w:val="20"/>
            <w:u w:val="single"/>
          </w:rPr>
          <w:t>Kevin K. Russell</w:t>
        </w:r>
      </w:hyperlink>
      <w:r>
        <w:rPr>
          <w:rFonts w:ascii="Times New Roman" w:hAnsi="Times New Roman" w:cs="Times New Roman"/>
          <w:color w:val="000000"/>
          <w:sz w:val="20"/>
          <w:szCs w:val="20"/>
        </w:rPr>
        <w:t xml:space="preserve">, Howe &amp; Russell, P.C., Bethesda, MD, </w:t>
      </w:r>
      <w:hyperlink r:id="rId142" w:history="1">
        <w:r>
          <w:rPr>
            <w:rFonts w:ascii="Times New Roman" w:hAnsi="Times New Roman" w:cs="Times New Roman"/>
            <w:color w:val="0000FF"/>
            <w:sz w:val="20"/>
            <w:szCs w:val="20"/>
            <w:u w:val="single"/>
          </w:rPr>
          <w:t>G. Eric Brunstad, Jr.</w:t>
        </w:r>
      </w:hyperlink>
      <w:r>
        <w:rPr>
          <w:rFonts w:ascii="Times New Roman" w:hAnsi="Times New Roman" w:cs="Times New Roman"/>
          <w:color w:val="000000"/>
          <w:sz w:val="20"/>
          <w:szCs w:val="20"/>
        </w:rPr>
        <w:t xml:space="preserve">, </w:t>
      </w:r>
      <w:hyperlink r:id="rId143" w:history="1">
        <w:r>
          <w:rPr>
            <w:rFonts w:ascii="Times New Roman" w:hAnsi="Times New Roman" w:cs="Times New Roman"/>
            <w:color w:val="0000FF"/>
            <w:sz w:val="20"/>
            <w:szCs w:val="20"/>
            <w:u w:val="single"/>
          </w:rPr>
          <w:t>Collin O'Connor Udell</w:t>
        </w:r>
      </w:hyperlink>
      <w:r>
        <w:rPr>
          <w:rFonts w:ascii="Times New Roman" w:hAnsi="Times New Roman" w:cs="Times New Roman"/>
          <w:color w:val="000000"/>
          <w:sz w:val="20"/>
          <w:szCs w:val="20"/>
        </w:rPr>
        <w:t xml:space="preserve">, </w:t>
      </w:r>
      <w:hyperlink r:id="rId144" w:history="1">
        <w:r>
          <w:rPr>
            <w:rFonts w:ascii="Times New Roman" w:hAnsi="Times New Roman" w:cs="Times New Roman"/>
            <w:color w:val="0000FF"/>
            <w:sz w:val="20"/>
            <w:szCs w:val="20"/>
            <w:u w:val="single"/>
          </w:rPr>
          <w:t>Matthew J. Delude</w:t>
        </w:r>
      </w:hyperlink>
      <w:r>
        <w:rPr>
          <w:rFonts w:ascii="Times New Roman" w:hAnsi="Times New Roman" w:cs="Times New Roman"/>
          <w:color w:val="000000"/>
          <w:sz w:val="20"/>
          <w:szCs w:val="20"/>
        </w:rPr>
        <w:t xml:space="preserve">, Dechert LLP, Hartford, CT, </w:t>
      </w:r>
      <w:hyperlink r:id="rId145" w:history="1">
        <w:r>
          <w:rPr>
            <w:rFonts w:ascii="Times New Roman" w:hAnsi="Times New Roman" w:cs="Times New Roman"/>
            <w:color w:val="0000FF"/>
            <w:sz w:val="20"/>
            <w:szCs w:val="20"/>
            <w:u w:val="single"/>
          </w:rPr>
          <w:t>Thomas C. Goldstein</w:t>
        </w:r>
      </w:hyperlink>
      <w:r>
        <w:rPr>
          <w:rFonts w:ascii="Times New Roman" w:hAnsi="Times New Roman" w:cs="Times New Roman"/>
          <w:color w:val="000000"/>
          <w:sz w:val="20"/>
          <w:szCs w:val="20"/>
        </w:rPr>
        <w:t xml:space="preserve">, Counsel of Record, </w:t>
      </w:r>
      <w:hyperlink r:id="rId146" w:history="1">
        <w:r>
          <w:rPr>
            <w:rFonts w:ascii="Times New Roman" w:hAnsi="Times New Roman" w:cs="Times New Roman"/>
            <w:color w:val="0000FF"/>
            <w:sz w:val="20"/>
            <w:szCs w:val="20"/>
            <w:u w:val="single"/>
          </w:rPr>
          <w:t>Patricia A. Millett</w:t>
        </w:r>
      </w:hyperlink>
      <w:r>
        <w:rPr>
          <w:rFonts w:ascii="Times New Roman" w:hAnsi="Times New Roman" w:cs="Times New Roman"/>
          <w:color w:val="000000"/>
          <w:sz w:val="20"/>
          <w:szCs w:val="20"/>
        </w:rPr>
        <w:t xml:space="preserve">, </w:t>
      </w:r>
      <w:hyperlink r:id="rId147" w:history="1">
        <w:r>
          <w:rPr>
            <w:rFonts w:ascii="Times New Roman" w:hAnsi="Times New Roman" w:cs="Times New Roman"/>
            <w:color w:val="0000FF"/>
            <w:sz w:val="20"/>
            <w:szCs w:val="20"/>
            <w:u w:val="single"/>
          </w:rPr>
          <w:t>Peter J.</w:t>
        </w:r>
        <w:r>
          <w:rPr>
            <w:rFonts w:ascii="Times New Roman" w:hAnsi="Times New Roman" w:cs="Times New Roman"/>
            <w:color w:val="0000FF"/>
            <w:sz w:val="20"/>
            <w:szCs w:val="20"/>
            <w:u w:val="single"/>
          </w:rPr>
          <w:t xml:space="preserve"> Gurfein</w:t>
        </w:r>
      </w:hyperlink>
      <w:r>
        <w:rPr>
          <w:rFonts w:ascii="Times New Roman" w:hAnsi="Times New Roman" w:cs="Times New Roman"/>
          <w:color w:val="000000"/>
          <w:sz w:val="20"/>
          <w:szCs w:val="20"/>
        </w:rPr>
        <w:t xml:space="preserve">, </w:t>
      </w:r>
      <w:hyperlink r:id="rId148" w:history="1">
        <w:r>
          <w:rPr>
            <w:rFonts w:ascii="Times New Roman" w:hAnsi="Times New Roman" w:cs="Times New Roman"/>
            <w:color w:val="0000FF"/>
            <w:sz w:val="20"/>
            <w:szCs w:val="20"/>
            <w:u w:val="single"/>
          </w:rPr>
          <w:t>Robert K. Ozols</w:t>
        </w:r>
      </w:hyperlink>
      <w:r>
        <w:rPr>
          <w:rFonts w:ascii="Times New Roman" w:hAnsi="Times New Roman" w:cs="Times New Roman"/>
          <w:color w:val="000000"/>
          <w:sz w:val="20"/>
          <w:szCs w:val="20"/>
        </w:rPr>
        <w:t xml:space="preserve">, </w:t>
      </w:r>
      <w:hyperlink r:id="rId149" w:history="1">
        <w:r>
          <w:rPr>
            <w:rFonts w:ascii="Times New Roman" w:hAnsi="Times New Roman" w:cs="Times New Roman"/>
            <w:color w:val="0000FF"/>
            <w:sz w:val="20"/>
            <w:szCs w:val="20"/>
            <w:u w:val="single"/>
          </w:rPr>
          <w:t>Brian M. Rothschild</w:t>
        </w:r>
      </w:hyperlink>
      <w:r>
        <w:rPr>
          <w:rFonts w:ascii="Times New Roman" w:hAnsi="Times New Roman" w:cs="Times New Roman"/>
          <w:color w:val="000000"/>
          <w:sz w:val="20"/>
          <w:szCs w:val="20"/>
        </w:rPr>
        <w:t xml:space="preserve">, Daniel J. Harris, </w:t>
      </w:r>
      <w:hyperlink r:id="rId150" w:history="1">
        <w:r>
          <w:rPr>
            <w:rFonts w:ascii="Times New Roman" w:hAnsi="Times New Roman" w:cs="Times New Roman"/>
            <w:color w:val="0000FF"/>
            <w:sz w:val="20"/>
            <w:szCs w:val="20"/>
            <w:u w:val="single"/>
          </w:rPr>
          <w:t>Russell L. Wininger</w:t>
        </w:r>
      </w:hyperlink>
      <w:r>
        <w:rPr>
          <w:rFonts w:ascii="Times New Roman" w:hAnsi="Times New Roman" w:cs="Times New Roman"/>
          <w:color w:val="000000"/>
          <w:sz w:val="20"/>
          <w:szCs w:val="20"/>
        </w:rPr>
        <w:t>, Akin, Gump, Strauss, Hauer &amp; Feld LLP, Washin</w:t>
      </w:r>
      <w:r>
        <w:rPr>
          <w:rFonts w:ascii="Times New Roman" w:hAnsi="Times New Roman" w:cs="Times New Roman"/>
          <w:color w:val="000000"/>
          <w:sz w:val="20"/>
          <w:szCs w:val="20"/>
        </w:rPr>
        <w:t>g</w:t>
      </w:r>
      <w:r>
        <w:rPr>
          <w:rFonts w:ascii="Times New Roman" w:hAnsi="Times New Roman" w:cs="Times New Roman"/>
          <w:color w:val="000000"/>
          <w:sz w:val="20"/>
          <w:szCs w:val="20"/>
        </w:rPr>
        <w:t>ton, DC, for respondent.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For U.S. Supreme Court briefs, see:2009 WL 5017534 (Pet.Brief)2010 WL 342041 (Resp.Brief)2010 WL 740751 (Reply.Brief)</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Justice </w:t>
      </w:r>
      <w:hyperlink r:id="rId151" w:history="1">
        <w:r>
          <w:rPr>
            <w:rFonts w:ascii="Times New Roman" w:hAnsi="Times New Roman" w:cs="Times New Roman"/>
            <w:color w:val="0000FF"/>
            <w:sz w:val="20"/>
            <w:szCs w:val="20"/>
            <w:u w:val="single"/>
          </w:rPr>
          <w:t>ALITO</w:t>
        </w:r>
      </w:hyperlink>
      <w:r>
        <w:rPr>
          <w:rFonts w:ascii="Times New Roman" w:hAnsi="Times New Roman" w:cs="Times New Roman"/>
          <w:color w:val="000000"/>
          <w:sz w:val="20"/>
          <w:szCs w:val="20"/>
        </w:rPr>
        <w:t xml:space="preserve"> deliver</w:t>
      </w:r>
      <w:r>
        <w:rPr>
          <w:rFonts w:ascii="Times New Roman" w:hAnsi="Times New Roman" w:cs="Times New Roman"/>
          <w:color w:val="000000"/>
          <w:sz w:val="20"/>
          <w:szCs w:val="20"/>
        </w:rPr>
        <w:t>ed the opinion of the Court.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Chapter 13 of the Bankruptcy Code provides ban</w:t>
      </w:r>
      <w:r>
        <w:rPr>
          <w:rFonts w:ascii="Times New Roman" w:hAnsi="Times New Roman" w:cs="Times New Roman"/>
          <w:color w:val="000000"/>
          <w:sz w:val="20"/>
          <w:szCs w:val="20"/>
        </w:rPr>
        <w:t>k</w:t>
      </w:r>
      <w:r>
        <w:rPr>
          <w:rFonts w:ascii="Times New Roman" w:hAnsi="Times New Roman" w:cs="Times New Roman"/>
          <w:color w:val="000000"/>
          <w:sz w:val="20"/>
          <w:szCs w:val="20"/>
        </w:rPr>
        <w:t xml:space="preserve">ruptcy protection to </w:t>
      </w:r>
      <w:r>
        <w:rPr>
          <w:rFonts w:ascii="Times New Roman" w:hAnsi="Times New Roman" w:cs="Times New Roman"/>
          <w:color w:val="000000"/>
          <w:sz w:val="20"/>
          <w:szCs w:val="20"/>
        </w:rPr>
        <w:t>“</w:t>
      </w:r>
      <w:r>
        <w:rPr>
          <w:rFonts w:ascii="Times New Roman" w:hAnsi="Times New Roman" w:cs="Times New Roman"/>
          <w:color w:val="000000"/>
          <w:sz w:val="20"/>
          <w:szCs w:val="20"/>
        </w:rPr>
        <w:t>individual[s] with regular i</w:t>
      </w:r>
      <w:r>
        <w:rPr>
          <w:rFonts w:ascii="Times New Roman" w:hAnsi="Times New Roman" w:cs="Times New Roman"/>
          <w:color w:val="000000"/>
          <w:sz w:val="20"/>
          <w:szCs w:val="20"/>
        </w:rPr>
        <w:t>n</w:t>
      </w:r>
      <w:r>
        <w:rPr>
          <w:rFonts w:ascii="Times New Roman" w:hAnsi="Times New Roman" w:cs="Times New Roman"/>
          <w:color w:val="000000"/>
          <w:sz w:val="20"/>
          <w:szCs w:val="20"/>
        </w:rPr>
        <w:t>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whose debts fall within statutory limits. </w:t>
      </w:r>
      <w:hyperlink r:id="rId152" w:history="1">
        <w:r>
          <w:rPr>
            <w:rFonts w:ascii="Times New Roman" w:hAnsi="Times New Roman" w:cs="Times New Roman"/>
            <w:color w:val="0000FF"/>
            <w:sz w:val="20"/>
            <w:szCs w:val="20"/>
            <w:u w:val="single"/>
          </w:rPr>
          <w:t>11 U.S.C. §§ 101(30)</w:t>
        </w:r>
      </w:hyperlink>
      <w:r>
        <w:rPr>
          <w:rFonts w:ascii="Times New Roman" w:hAnsi="Times New Roman" w:cs="Times New Roman"/>
          <w:color w:val="000000"/>
          <w:sz w:val="20"/>
          <w:szCs w:val="20"/>
        </w:rPr>
        <w:t xml:space="preserve">, </w:t>
      </w:r>
      <w:hyperlink r:id="rId153" w:history="1">
        <w:r>
          <w:rPr>
            <w:rFonts w:ascii="Times New Roman" w:hAnsi="Times New Roman" w:cs="Times New Roman"/>
            <w:color w:val="0000FF"/>
            <w:sz w:val="20"/>
            <w:szCs w:val="20"/>
            <w:u w:val="single"/>
          </w:rPr>
          <w:t>109(e)</w:t>
        </w:r>
      </w:hyperlink>
      <w:r>
        <w:rPr>
          <w:rFonts w:ascii="Times New Roman" w:hAnsi="Times New Roman" w:cs="Times New Roman"/>
          <w:color w:val="000000"/>
          <w:sz w:val="20"/>
          <w:szCs w:val="20"/>
        </w:rPr>
        <w:t>. Unlike debtors who file under Chapter 7 and must liquidate their nonexempt assets in order to pay creditors, see §§ 704(a)(1), 726, Chapter 13 debtors are permitted to keep their pro</w:t>
      </w:r>
      <w:r>
        <w:rPr>
          <w:rFonts w:ascii="Times New Roman" w:hAnsi="Times New Roman" w:cs="Times New Roman"/>
          <w:color w:val="000000"/>
          <w:sz w:val="20"/>
          <w:szCs w:val="20"/>
        </w:rPr>
        <w:t>p</w:t>
      </w:r>
      <w:r>
        <w:rPr>
          <w:rFonts w:ascii="Times New Roman" w:hAnsi="Times New Roman" w:cs="Times New Roman"/>
          <w:color w:val="000000"/>
          <w:sz w:val="20"/>
          <w:szCs w:val="20"/>
        </w:rPr>
        <w:t>erty, but they must agree to a court-ap</w:t>
      </w:r>
      <w:r>
        <w:rPr>
          <w:rFonts w:ascii="Times New Roman" w:hAnsi="Times New Roman" w:cs="Times New Roman"/>
          <w:color w:val="000000"/>
          <w:sz w:val="20"/>
          <w:szCs w:val="20"/>
        </w:rPr>
        <w:t xml:space="preserve">proved plan under which they pay creditors out of their future income, see §§ 1306(b), 1321, 1322(a)(1), 1328(a). A bankruptcy trustee oversees the filing and execution of a Chapter 13 debtor's plan. § 1322(a)(1); see also </w:t>
      </w:r>
      <w:hyperlink r:id="rId154" w:history="1">
        <w:r>
          <w:rPr>
            <w:rFonts w:ascii="Times New Roman" w:hAnsi="Times New Roman" w:cs="Times New Roman"/>
            <w:color w:val="0000FF"/>
            <w:sz w:val="20"/>
            <w:szCs w:val="20"/>
            <w:u w:val="single"/>
          </w:rPr>
          <w:t>28 U.S.C. § 586(a)(3)</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r:id="rId155" w:history="1">
        <w:r>
          <w:rPr>
            <w:rFonts w:ascii="Times New Roman" w:hAnsi="Times New Roman" w:cs="Times New Roman"/>
            <w:color w:val="0000FF"/>
            <w:sz w:val="20"/>
            <w:szCs w:val="20"/>
            <w:u w:val="single"/>
          </w:rPr>
          <w:t>Section 1325 of Title 11</w:t>
        </w:r>
      </w:hyperlink>
      <w:r>
        <w:rPr>
          <w:rFonts w:ascii="Times New Roman" w:hAnsi="Times New Roman" w:cs="Times New Roman"/>
          <w:color w:val="000000"/>
          <w:sz w:val="20"/>
          <w:szCs w:val="20"/>
        </w:rPr>
        <w:t xml:space="preserve"> specifies circumstances under which a bankruptcy court </w:t>
      </w:r>
      <w:r>
        <w:rPr>
          <w:rFonts w:ascii="Times New Roman" w:hAnsi="Times New Roman" w:cs="Times New Roman"/>
          <w:color w:val="000000"/>
          <w:sz w:val="20"/>
          <w:szCs w:val="20"/>
        </w:rPr>
        <w:t>“</w:t>
      </w:r>
      <w:r>
        <w:rPr>
          <w:rFonts w:ascii="Times New Roman" w:hAnsi="Times New Roman" w:cs="Times New Roman"/>
          <w:color w:val="000000"/>
          <w:sz w:val="20"/>
          <w:szCs w:val="20"/>
        </w:rPr>
        <w:t>shall</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and </w:t>
      </w:r>
      <w:r>
        <w:rPr>
          <w:rFonts w:ascii="Times New Roman" w:hAnsi="Times New Roman" w:cs="Times New Roman"/>
          <w:color w:val="000000"/>
          <w:sz w:val="20"/>
          <w:szCs w:val="20"/>
        </w:rPr>
        <w:t>“</w:t>
      </w:r>
      <w:r>
        <w:rPr>
          <w:rFonts w:ascii="Times New Roman" w:hAnsi="Times New Roman" w:cs="Times New Roman"/>
          <w:color w:val="000000"/>
          <w:sz w:val="20"/>
          <w:szCs w:val="20"/>
        </w:rPr>
        <w:t>may not</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co</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firm a plan. </w:t>
      </w:r>
      <w:hyperlink r:id="rId156" w:history="1">
        <w:r>
          <w:rPr>
            <w:rFonts w:ascii="Times New Roman" w:hAnsi="Times New Roman" w:cs="Times New Roman"/>
            <w:color w:val="0000FF"/>
            <w:sz w:val="20"/>
            <w:szCs w:val="20"/>
            <w:u w:val="single"/>
          </w:rPr>
          <w:t>§ 1325(a)</w:t>
        </w:r>
      </w:hyperlink>
      <w:r>
        <w:rPr>
          <w:rFonts w:ascii="Times New Roman" w:hAnsi="Times New Roman" w:cs="Times New Roman"/>
          <w:color w:val="000000"/>
          <w:sz w:val="20"/>
          <w:szCs w:val="20"/>
        </w:rPr>
        <w:t xml:space="preserve">, </w:t>
      </w:r>
      <w:hyperlink r:id="rId157" w:history="1">
        <w:r>
          <w:rPr>
            <w:rFonts w:ascii="Times New Roman" w:hAnsi="Times New Roman" w:cs="Times New Roman"/>
            <w:color w:val="0000FF"/>
            <w:sz w:val="20"/>
            <w:szCs w:val="20"/>
            <w:u w:val="single"/>
          </w:rPr>
          <w:t>(b)</w:t>
        </w:r>
      </w:hyperlink>
      <w:r>
        <w:rPr>
          <w:rFonts w:ascii="Times New Roman" w:hAnsi="Times New Roman" w:cs="Times New Roman"/>
          <w:color w:val="000000"/>
          <w:sz w:val="20"/>
          <w:szCs w:val="20"/>
        </w:rPr>
        <w:t>. If an uns</w:t>
      </w:r>
      <w:r>
        <w:rPr>
          <w:rFonts w:ascii="Times New Roman" w:hAnsi="Times New Roman" w:cs="Times New Roman"/>
          <w:color w:val="000000"/>
          <w:sz w:val="20"/>
          <w:szCs w:val="20"/>
        </w:rPr>
        <w:t>e</w:t>
      </w:r>
      <w:r>
        <w:rPr>
          <w:rFonts w:ascii="Times New Roman" w:hAnsi="Times New Roman" w:cs="Times New Roman"/>
          <w:color w:val="000000"/>
          <w:sz w:val="20"/>
          <w:szCs w:val="20"/>
        </w:rPr>
        <w:t>cured cre</w:t>
      </w:r>
      <w:r>
        <w:rPr>
          <w:rFonts w:ascii="Times New Roman" w:hAnsi="Times New Roman" w:cs="Times New Roman"/>
          <w:color w:val="000000"/>
          <w:sz w:val="20"/>
          <w:szCs w:val="20"/>
        </w:rPr>
        <w:t xml:space="preserve">ditor or the bankruptcy trustee objects to confirmation, </w:t>
      </w:r>
      <w:hyperlink r:id="rId158" w:history="1">
        <w:r>
          <w:rPr>
            <w:rFonts w:ascii="Times New Roman" w:hAnsi="Times New Roman" w:cs="Times New Roman"/>
            <w:color w:val="0000FF"/>
            <w:sz w:val="20"/>
            <w:szCs w:val="20"/>
            <w:u w:val="single"/>
          </w:rPr>
          <w:t>§ 1325(b)(1)</w:t>
        </w:r>
      </w:hyperlink>
      <w:r>
        <w:rPr>
          <w:rFonts w:ascii="Times New Roman" w:hAnsi="Times New Roman" w:cs="Times New Roman"/>
          <w:color w:val="000000"/>
          <w:sz w:val="20"/>
          <w:szCs w:val="20"/>
        </w:rPr>
        <w:t xml:space="preserve"> requires the debtor either to pay unsecured creditors in full or to pay all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projected disposable </w:t>
      </w:r>
      <w:r>
        <w:rPr>
          <w:rFonts w:ascii="Times New Roman" w:hAnsi="Times New Roman" w:cs="Times New Roman"/>
          <w:color w:val="000000"/>
          <w:sz w:val="20"/>
          <w:szCs w:val="20"/>
        </w:rPr>
        <w:lastRenderedPageBreak/>
        <w:t>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to be received by the debtor over the duration of the plan.</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*4</w:t>
      </w:r>
      <w:r>
        <w:rPr>
          <w:rFonts w:ascii="Times New Roman" w:hAnsi="Times New Roman" w:cs="Times New Roman"/>
          <w:color w:val="000000"/>
          <w:sz w:val="20"/>
          <w:szCs w:val="20"/>
        </w:rPr>
        <w:t xml:space="preserve"> We granted certiorari to decide how a bankruptcy court should calculate a debtor's </w:t>
      </w:r>
      <w:r>
        <w:rPr>
          <w:rFonts w:ascii="Times New Roman" w:hAnsi="Times New Roman" w:cs="Times New Roman"/>
          <w:color w:val="000000"/>
          <w:sz w:val="20"/>
          <w:szCs w:val="20"/>
        </w:rPr>
        <w:t>“</w:t>
      </w:r>
      <w:r>
        <w:rPr>
          <w:rFonts w:ascii="Times New Roman" w:hAnsi="Times New Roman" w:cs="Times New Roman"/>
          <w:color w:val="000000"/>
          <w:sz w:val="20"/>
          <w:szCs w:val="20"/>
        </w:rPr>
        <w:t>p</w:t>
      </w:r>
      <w:r>
        <w:rPr>
          <w:rFonts w:ascii="Times New Roman" w:hAnsi="Times New Roman" w:cs="Times New Roman"/>
          <w:color w:val="000000"/>
          <w:sz w:val="20"/>
          <w:szCs w:val="20"/>
        </w:rPr>
        <w:t>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Some lower courts have taken what the parties term the </w:t>
      </w:r>
      <w:r>
        <w:rPr>
          <w:rFonts w:ascii="Times New Roman" w:hAnsi="Times New Roman" w:cs="Times New Roman"/>
          <w:color w:val="000000"/>
          <w:sz w:val="20"/>
          <w:szCs w:val="20"/>
        </w:rPr>
        <w:t>“</w:t>
      </w:r>
      <w:r>
        <w:rPr>
          <w:rFonts w:ascii="Times New Roman" w:hAnsi="Times New Roman" w:cs="Times New Roman"/>
          <w:color w:val="000000"/>
          <w:sz w:val="20"/>
          <w:szCs w:val="20"/>
        </w:rPr>
        <w:t>mechanical approach,</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while most have adopted what has been called the </w:t>
      </w:r>
      <w:r>
        <w:rPr>
          <w:rFonts w:ascii="Times New Roman" w:hAnsi="Times New Roman" w:cs="Times New Roman"/>
          <w:color w:val="000000"/>
          <w:sz w:val="20"/>
          <w:szCs w:val="20"/>
        </w:rPr>
        <w:t>“</w:t>
      </w:r>
      <w:r>
        <w:rPr>
          <w:rFonts w:ascii="Times New Roman" w:hAnsi="Times New Roman" w:cs="Times New Roman"/>
          <w:color w:val="000000"/>
          <w:sz w:val="20"/>
          <w:szCs w:val="20"/>
        </w:rPr>
        <w:t>fo</w:t>
      </w:r>
      <w:r>
        <w:rPr>
          <w:rFonts w:ascii="Times New Roman" w:hAnsi="Times New Roman" w:cs="Times New Roman"/>
          <w:color w:val="000000"/>
          <w:sz w:val="20"/>
          <w:szCs w:val="20"/>
        </w:rPr>
        <w:t>r</w:t>
      </w:r>
      <w:r>
        <w:rPr>
          <w:rFonts w:ascii="Times New Roman" w:hAnsi="Times New Roman" w:cs="Times New Roman"/>
          <w:color w:val="000000"/>
          <w:sz w:val="20"/>
          <w:szCs w:val="20"/>
        </w:rPr>
        <w:t>ward-looking approach.</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We hold that the </w:t>
      </w:r>
      <w:r>
        <w:rPr>
          <w:rFonts w:ascii="Times New Roman" w:hAnsi="Times New Roman" w:cs="Times New Roman"/>
          <w:color w:val="000000"/>
          <w:sz w:val="20"/>
          <w:szCs w:val="20"/>
        </w:rPr>
        <w:t>“</w:t>
      </w:r>
      <w:r>
        <w:rPr>
          <w:rFonts w:ascii="Times New Roman" w:hAnsi="Times New Roman" w:cs="Times New Roman"/>
          <w:color w:val="000000"/>
          <w:sz w:val="20"/>
          <w:szCs w:val="20"/>
        </w:rPr>
        <w:t>fo</w:t>
      </w:r>
      <w:r>
        <w:rPr>
          <w:rFonts w:ascii="Times New Roman" w:hAnsi="Times New Roman" w:cs="Times New Roman"/>
          <w:color w:val="000000"/>
          <w:sz w:val="20"/>
          <w:szCs w:val="20"/>
        </w:rPr>
        <w:t>r</w:t>
      </w:r>
      <w:r>
        <w:rPr>
          <w:rFonts w:ascii="Times New Roman" w:hAnsi="Times New Roman" w:cs="Times New Roman"/>
          <w:color w:val="000000"/>
          <w:sz w:val="20"/>
          <w:szCs w:val="20"/>
        </w:rPr>
        <w:t>ward-looking approach</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is correct.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I</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F12022242875" w:history="1">
        <w:r>
          <w:rPr>
            <w:rFonts w:ascii="Times New Roman" w:hAnsi="Times New Roman" w:cs="Times New Roman"/>
            <w:color w:val="0000FF"/>
            <w:sz w:val="20"/>
            <w:szCs w:val="20"/>
            <w:u w:val="single"/>
          </w:rPr>
          <w:t>[1]</w:t>
        </w:r>
      </w:hyperlink>
      <w:bookmarkStart w:id="27" w:name="Document1zzB12022242875"/>
      <w:bookmarkEnd w:id="27"/>
      <w:r>
        <w:rPr>
          <w:rFonts w:ascii="Times New Roman" w:hAnsi="Times New Roman" w:cs="Times New Roman"/>
          <w:color w:val="000000"/>
          <w:sz w:val="20"/>
          <w:szCs w:val="20"/>
        </w:rPr>
        <w:t xml:space="preserve"> As previously noted, </w:t>
      </w:r>
      <w:hyperlink r:id="rId159" w:history="1">
        <w:r>
          <w:rPr>
            <w:rFonts w:ascii="Times New Roman" w:hAnsi="Times New Roman" w:cs="Times New Roman"/>
            <w:color w:val="0000FF"/>
            <w:sz w:val="20"/>
            <w:szCs w:val="20"/>
            <w:u w:val="single"/>
          </w:rPr>
          <w:t>§ 1325</w:t>
        </w:r>
      </w:hyperlink>
      <w:r>
        <w:rPr>
          <w:rFonts w:ascii="Times New Roman" w:hAnsi="Times New Roman" w:cs="Times New Roman"/>
          <w:color w:val="000000"/>
          <w:sz w:val="20"/>
          <w:szCs w:val="20"/>
        </w:rPr>
        <w:t xml:space="preserve"> provides that if a trustee or an unse</w:t>
      </w:r>
      <w:r>
        <w:rPr>
          <w:rFonts w:ascii="Times New Roman" w:hAnsi="Times New Roman" w:cs="Times New Roman"/>
          <w:color w:val="000000"/>
          <w:sz w:val="20"/>
          <w:szCs w:val="20"/>
        </w:rPr>
        <w:t xml:space="preserve">cured creditor objects to a Chapter 13 debtor's plan, a bankruptcy court may not approve the plan unless it provides for the full repayment of unsecured claims or </w:t>
      </w:r>
      <w:r>
        <w:rPr>
          <w:rFonts w:ascii="Times New Roman" w:hAnsi="Times New Roman" w:cs="Times New Roman"/>
          <w:color w:val="000000"/>
          <w:sz w:val="20"/>
          <w:szCs w:val="20"/>
        </w:rPr>
        <w:t>“</w:t>
      </w:r>
      <w:r>
        <w:rPr>
          <w:rFonts w:ascii="Times New Roman" w:hAnsi="Times New Roman" w:cs="Times New Roman"/>
          <w:color w:val="000000"/>
          <w:sz w:val="20"/>
          <w:szCs w:val="20"/>
        </w:rPr>
        <w:t>provides that all of the debtor's projected disposable i</w:t>
      </w:r>
      <w:r>
        <w:rPr>
          <w:rFonts w:ascii="Times New Roman" w:hAnsi="Times New Roman" w:cs="Times New Roman"/>
          <w:color w:val="000000"/>
          <w:sz w:val="20"/>
          <w:szCs w:val="20"/>
        </w:rPr>
        <w:t>n</w:t>
      </w:r>
      <w:r>
        <w:rPr>
          <w:rFonts w:ascii="Times New Roman" w:hAnsi="Times New Roman" w:cs="Times New Roman"/>
          <w:color w:val="000000"/>
          <w:sz w:val="20"/>
          <w:szCs w:val="20"/>
        </w:rPr>
        <w:t>come to be received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over the durat</w:t>
      </w:r>
      <w:r>
        <w:rPr>
          <w:rFonts w:ascii="Times New Roman" w:hAnsi="Times New Roman" w:cs="Times New Roman"/>
          <w:color w:val="000000"/>
          <w:sz w:val="20"/>
          <w:szCs w:val="20"/>
        </w:rPr>
        <w:t xml:space="preserve">ion of the plan </w:t>
      </w:r>
      <w:r>
        <w:rPr>
          <w:rFonts w:ascii="Times New Roman" w:hAnsi="Times New Roman" w:cs="Times New Roman"/>
          <w:color w:val="000000"/>
          <w:sz w:val="20"/>
          <w:szCs w:val="20"/>
        </w:rPr>
        <w:t>“</w:t>
      </w:r>
      <w:r>
        <w:rPr>
          <w:rFonts w:ascii="Times New Roman" w:hAnsi="Times New Roman" w:cs="Times New Roman"/>
          <w:color w:val="000000"/>
          <w:sz w:val="20"/>
          <w:szCs w:val="20"/>
        </w:rPr>
        <w:t>will be applied to make pa</w:t>
      </w:r>
      <w:r>
        <w:rPr>
          <w:rFonts w:ascii="Times New Roman" w:hAnsi="Times New Roman" w:cs="Times New Roman"/>
          <w:color w:val="000000"/>
          <w:sz w:val="20"/>
          <w:szCs w:val="20"/>
        </w:rPr>
        <w:t>y</w:t>
      </w:r>
      <w:r>
        <w:rPr>
          <w:rFonts w:ascii="Times New Roman" w:hAnsi="Times New Roman" w:cs="Times New Roman"/>
          <w:color w:val="000000"/>
          <w:sz w:val="20"/>
          <w:szCs w:val="20"/>
        </w:rPr>
        <w:t>ments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accordance with the terms of the plan. </w:t>
      </w:r>
      <w:hyperlink r:id="rId160" w:history="1">
        <w:r>
          <w:rPr>
            <w:rFonts w:ascii="Times New Roman" w:hAnsi="Times New Roman" w:cs="Times New Roman"/>
            <w:color w:val="0000FF"/>
            <w:sz w:val="20"/>
            <w:szCs w:val="20"/>
            <w:u w:val="single"/>
          </w:rPr>
          <w:t>11 U.S.C. § 1325(b)(1)</w:t>
        </w:r>
      </w:hyperlink>
      <w:r>
        <w:rPr>
          <w:rFonts w:ascii="Times New Roman" w:hAnsi="Times New Roman" w:cs="Times New Roman"/>
          <w:color w:val="000000"/>
          <w:sz w:val="20"/>
          <w:szCs w:val="20"/>
        </w:rPr>
        <w:t xml:space="preserve">; see also </w:t>
      </w:r>
      <w:hyperlink r:id="rId161" w:history="1">
        <w:r>
          <w:rPr>
            <w:rFonts w:ascii="Times New Roman" w:hAnsi="Times New Roman" w:cs="Times New Roman"/>
            <w:color w:val="0000FF"/>
            <w:sz w:val="20"/>
            <w:szCs w:val="20"/>
            <w:u w:val="single"/>
          </w:rPr>
          <w:t>§ 1325(b)(1)</w:t>
        </w:r>
      </w:hyperlink>
      <w:r>
        <w:rPr>
          <w:rFonts w:ascii="Times New Roman" w:hAnsi="Times New Roman" w:cs="Times New Roman"/>
          <w:color w:val="000000"/>
          <w:sz w:val="20"/>
          <w:szCs w:val="20"/>
        </w:rPr>
        <w:t xml:space="preserve"> (2000 ed.). Before the enactmen</w:t>
      </w:r>
      <w:r>
        <w:rPr>
          <w:rFonts w:ascii="Times New Roman" w:hAnsi="Times New Roman" w:cs="Times New Roman"/>
          <w:color w:val="000000"/>
          <w:sz w:val="20"/>
          <w:szCs w:val="20"/>
        </w:rPr>
        <w:t>t of the Bankruptcy Abuse Pr</w:t>
      </w:r>
      <w:r>
        <w:rPr>
          <w:rFonts w:ascii="Times New Roman" w:hAnsi="Times New Roman" w:cs="Times New Roman"/>
          <w:color w:val="000000"/>
          <w:sz w:val="20"/>
          <w:szCs w:val="20"/>
        </w:rPr>
        <w:t>e</w:t>
      </w:r>
      <w:r>
        <w:rPr>
          <w:rFonts w:ascii="Times New Roman" w:hAnsi="Times New Roman" w:cs="Times New Roman"/>
          <w:color w:val="000000"/>
          <w:sz w:val="20"/>
          <w:szCs w:val="20"/>
        </w:rPr>
        <w:t xml:space="preserve">vention and Consumer Protection Act of 2005 (BAPCPA), 119 Stat. 23, the Bankruptcy Code (Code) loosely defined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as </w:t>
      </w:r>
      <w:r>
        <w:rPr>
          <w:rFonts w:ascii="Times New Roman" w:hAnsi="Times New Roman" w:cs="Times New Roman"/>
          <w:color w:val="000000"/>
          <w:sz w:val="20"/>
          <w:szCs w:val="20"/>
        </w:rPr>
        <w:t>“</w:t>
      </w:r>
      <w:r>
        <w:rPr>
          <w:rFonts w:ascii="Times New Roman" w:hAnsi="Times New Roman" w:cs="Times New Roman"/>
          <w:color w:val="000000"/>
          <w:sz w:val="20"/>
          <w:szCs w:val="20"/>
        </w:rPr>
        <w:t>income which is received by the debtor and which is not re</w:t>
      </w:r>
      <w:r>
        <w:rPr>
          <w:rFonts w:ascii="Times New Roman" w:hAnsi="Times New Roman" w:cs="Times New Roman"/>
          <w:color w:val="000000"/>
          <w:sz w:val="20"/>
          <w:szCs w:val="20"/>
        </w:rPr>
        <w:t>a</w:t>
      </w:r>
      <w:r>
        <w:rPr>
          <w:rFonts w:ascii="Times New Roman" w:hAnsi="Times New Roman" w:cs="Times New Roman"/>
          <w:color w:val="000000"/>
          <w:sz w:val="20"/>
          <w:szCs w:val="20"/>
        </w:rPr>
        <w:t>sonably necessary to be expended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for the </w:t>
      </w:r>
      <w:r>
        <w:rPr>
          <w:rFonts w:ascii="Times New Roman" w:hAnsi="Times New Roman" w:cs="Times New Roman"/>
          <w:color w:val="000000"/>
          <w:sz w:val="20"/>
          <w:szCs w:val="20"/>
        </w:rPr>
        <w:t>“</w:t>
      </w:r>
      <w:r>
        <w:rPr>
          <w:rFonts w:ascii="Times New Roman" w:hAnsi="Times New Roman" w:cs="Times New Roman"/>
          <w:color w:val="000000"/>
          <w:sz w:val="20"/>
          <w:szCs w:val="20"/>
        </w:rPr>
        <w:t>mainte</w:t>
      </w:r>
      <w:r>
        <w:rPr>
          <w:rFonts w:ascii="Times New Roman" w:hAnsi="Times New Roman" w:cs="Times New Roman"/>
          <w:color w:val="000000"/>
          <w:sz w:val="20"/>
          <w:szCs w:val="20"/>
        </w:rPr>
        <w:t>n</w:t>
      </w:r>
      <w:r>
        <w:rPr>
          <w:rFonts w:ascii="Times New Roman" w:hAnsi="Times New Roman" w:cs="Times New Roman"/>
          <w:color w:val="000000"/>
          <w:sz w:val="20"/>
          <w:szCs w:val="20"/>
        </w:rPr>
        <w:t>ance or support of the debtor,</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for qualifying charit</w:t>
      </w:r>
      <w:r>
        <w:rPr>
          <w:rFonts w:ascii="Times New Roman" w:hAnsi="Times New Roman" w:cs="Times New Roman"/>
          <w:color w:val="000000"/>
          <w:sz w:val="20"/>
          <w:szCs w:val="20"/>
        </w:rPr>
        <w:t>a</w:t>
      </w:r>
      <w:r>
        <w:rPr>
          <w:rFonts w:ascii="Times New Roman" w:hAnsi="Times New Roman" w:cs="Times New Roman"/>
          <w:color w:val="000000"/>
          <w:sz w:val="20"/>
          <w:szCs w:val="20"/>
        </w:rPr>
        <w:t xml:space="preserve">ble contributions, or for business expenditures. </w:t>
      </w:r>
      <w:hyperlink r:id="rId162" w:history="1">
        <w:r>
          <w:rPr>
            <w:rFonts w:ascii="Times New Roman" w:hAnsi="Times New Roman" w:cs="Times New Roman"/>
            <w:color w:val="0000FF"/>
            <w:sz w:val="20"/>
            <w:szCs w:val="20"/>
            <w:u w:val="single"/>
          </w:rPr>
          <w:t>§ 1325(b)(2)(A)</w:t>
        </w:r>
      </w:hyperlink>
      <w:r>
        <w:rPr>
          <w:rFonts w:ascii="Times New Roman" w:hAnsi="Times New Roman" w:cs="Times New Roman"/>
          <w:color w:val="000000"/>
          <w:sz w:val="20"/>
          <w:szCs w:val="20"/>
        </w:rPr>
        <w:t>, (B).</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The Code did not define the term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w:t>
      </w:r>
      <w:r>
        <w:rPr>
          <w:rFonts w:ascii="Times New Roman" w:hAnsi="Times New Roman" w:cs="Times New Roman"/>
          <w:color w:val="000000"/>
          <w:sz w:val="20"/>
          <w:szCs w:val="20"/>
        </w:rPr>
        <w:t>a</w:t>
      </w:r>
      <w:r>
        <w:rPr>
          <w:rFonts w:ascii="Times New Roman" w:hAnsi="Times New Roman" w:cs="Times New Roman"/>
          <w:color w:val="000000"/>
          <w:sz w:val="20"/>
          <w:szCs w:val="20"/>
        </w:rPr>
        <w:t>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and in most cases, bankruptcy courts used a mechanical approach in calculating projected disposable income. That is, they first multip</w:t>
      </w:r>
      <w:r>
        <w:rPr>
          <w:rFonts w:ascii="Times New Roman" w:hAnsi="Times New Roman" w:cs="Times New Roman"/>
          <w:color w:val="000000"/>
          <w:sz w:val="20"/>
          <w:szCs w:val="20"/>
        </w:rPr>
        <w:t xml:space="preserve">lied monthly income by the number of months in the plan and then determined what portion of the result was </w:t>
      </w:r>
      <w:r>
        <w:rPr>
          <w:rFonts w:ascii="Times New Roman" w:hAnsi="Times New Roman" w:cs="Times New Roman"/>
          <w:color w:val="000000"/>
          <w:sz w:val="20"/>
          <w:szCs w:val="20"/>
        </w:rPr>
        <w:t>“</w:t>
      </w:r>
      <w:r>
        <w:rPr>
          <w:rFonts w:ascii="Times New Roman" w:hAnsi="Times New Roman" w:cs="Times New Roman"/>
          <w:color w:val="000000"/>
          <w:sz w:val="20"/>
          <w:szCs w:val="20"/>
        </w:rPr>
        <w:t>excess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or </w:t>
      </w:r>
      <w:r>
        <w:rPr>
          <w:rFonts w:ascii="Times New Roman" w:hAnsi="Times New Roman" w:cs="Times New Roman"/>
          <w:color w:val="000000"/>
          <w:sz w:val="20"/>
          <w:szCs w:val="20"/>
        </w:rPr>
        <w:t>“</w:t>
      </w:r>
      <w:r>
        <w:rPr>
          <w:rFonts w:ascii="Times New Roman" w:hAnsi="Times New Roman" w:cs="Times New Roman"/>
          <w:color w:val="000000"/>
          <w:sz w:val="20"/>
          <w:szCs w:val="20"/>
        </w:rPr>
        <w:t>disposable.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See 2 K. Lundin, Chapter 13 Bankruptcy § 164.1, p. 164-1, and n. 4 (3d ed.2000) (hereinafter Lundin (2000 ed.)) (citing cas</w:t>
      </w:r>
      <w:r>
        <w:rPr>
          <w:rFonts w:ascii="Times New Roman" w:hAnsi="Times New Roman" w:cs="Times New Roman"/>
          <w:color w:val="000000"/>
          <w:sz w:val="20"/>
          <w:szCs w:val="20"/>
        </w:rPr>
        <w:t>es).</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In exceptional cases, however, bankruptcy courts took into account foreseeable changes in a debtor's income or expenses. See </w:t>
      </w:r>
      <w:hyperlink r:id="rId163" w:history="1">
        <w:r>
          <w:rPr>
            <w:rFonts w:ascii="Times New Roman" w:hAnsi="Times New Roman" w:cs="Times New Roman"/>
            <w:i/>
            <w:iCs/>
            <w:color w:val="0000FF"/>
            <w:sz w:val="20"/>
            <w:szCs w:val="20"/>
            <w:u w:val="single"/>
          </w:rPr>
          <w:t>In re Heath,</w:t>
        </w:r>
      </w:hyperlink>
      <w:hyperlink r:id="rId164" w:history="1">
        <w:r>
          <w:rPr>
            <w:rFonts w:ascii="Times New Roman" w:hAnsi="Times New Roman" w:cs="Times New Roman"/>
            <w:color w:val="0000FF"/>
            <w:sz w:val="20"/>
            <w:szCs w:val="20"/>
            <w:u w:val="single"/>
          </w:rPr>
          <w:t xml:space="preserve"> 182 B.R. 557, 559-561 (9th Cir. BAP 1995)</w:t>
        </w:r>
      </w:hyperlink>
      <w:r>
        <w:rPr>
          <w:rFonts w:ascii="Times New Roman" w:hAnsi="Times New Roman" w:cs="Times New Roman"/>
          <w:color w:val="000000"/>
          <w:sz w:val="20"/>
          <w:szCs w:val="20"/>
        </w:rPr>
        <w:t xml:space="preserve">; </w:t>
      </w:r>
      <w:hyperlink r:id="rId165" w:history="1">
        <w:r>
          <w:rPr>
            <w:rFonts w:ascii="Times New Roman" w:hAnsi="Times New Roman" w:cs="Times New Roman"/>
            <w:i/>
            <w:iCs/>
            <w:color w:val="0000FF"/>
            <w:sz w:val="20"/>
            <w:szCs w:val="20"/>
            <w:u w:val="single"/>
          </w:rPr>
          <w:t>In re Richardson,</w:t>
        </w:r>
      </w:hyperlink>
      <w:hyperlink r:id="rId166" w:history="1">
        <w:r>
          <w:rPr>
            <w:rFonts w:ascii="Times New Roman" w:hAnsi="Times New Roman" w:cs="Times New Roman"/>
            <w:color w:val="0000FF"/>
            <w:sz w:val="20"/>
            <w:szCs w:val="20"/>
            <w:u w:val="single"/>
          </w:rPr>
          <w:t xml:space="preserve"> 283 B.R. 783, 799 (Bkrtcy.Kan.2002)</w:t>
        </w:r>
      </w:hyperlink>
      <w:r>
        <w:rPr>
          <w:rFonts w:ascii="Times New Roman" w:hAnsi="Times New Roman" w:cs="Times New Roman"/>
          <w:color w:val="000000"/>
          <w:sz w:val="20"/>
          <w:szCs w:val="20"/>
        </w:rPr>
        <w:t>; Tr. of Oral Arg. 7. Accord, 1 Lundin § 35.10, at 35-14 (2000 ed.) (</w:t>
      </w:r>
      <w:r>
        <w:rPr>
          <w:rFonts w:ascii="Times New Roman" w:hAnsi="Times New Roman" w:cs="Times New Roman"/>
          <w:color w:val="000000"/>
          <w:sz w:val="20"/>
          <w:szCs w:val="20"/>
        </w:rPr>
        <w:t>“</w:t>
      </w:r>
      <w:r>
        <w:rPr>
          <w:rFonts w:ascii="Times New Roman" w:hAnsi="Times New Roman" w:cs="Times New Roman"/>
          <w:color w:val="000000"/>
          <w:sz w:val="20"/>
          <w:szCs w:val="20"/>
        </w:rPr>
        <w:t>The debtor should take some care to project estimated future income on Schedule I to include a</w:t>
      </w:r>
      <w:r>
        <w:rPr>
          <w:rFonts w:ascii="Times New Roman" w:hAnsi="Times New Roman" w:cs="Times New Roman"/>
          <w:color w:val="000000"/>
          <w:sz w:val="20"/>
          <w:szCs w:val="20"/>
        </w:rPr>
        <w:t xml:space="preserve">nticipated increases or decreases [in income] so that the schedule will be </w:t>
      </w:r>
      <w:r>
        <w:rPr>
          <w:rFonts w:ascii="Times New Roman" w:hAnsi="Times New Roman" w:cs="Times New Roman"/>
          <w:color w:val="000000"/>
          <w:sz w:val="20"/>
          <w:szCs w:val="20"/>
        </w:rPr>
        <w:lastRenderedPageBreak/>
        <w:t>consistent with any evidence of income the debtor would offer at a contested confirmation hearing</w:t>
      </w:r>
      <w:r>
        <w:rPr>
          <w:rFonts w:ascii="Times New Roman" w:hAnsi="Times New Roman" w:cs="Times New Roman"/>
          <w:color w:val="000000"/>
          <w:sz w:val="20"/>
          <w:szCs w:val="20"/>
        </w:rPr>
        <w:t>”</w:t>
      </w:r>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F22022242875" w:history="1">
        <w:r>
          <w:rPr>
            <w:rFonts w:ascii="Times New Roman" w:hAnsi="Times New Roman" w:cs="Times New Roman"/>
            <w:color w:val="0000FF"/>
            <w:sz w:val="20"/>
            <w:szCs w:val="20"/>
            <w:u w:val="single"/>
          </w:rPr>
          <w:t>[2]</w:t>
        </w:r>
      </w:hyperlink>
      <w:bookmarkStart w:id="28" w:name="Document1zzB22022242875"/>
      <w:bookmarkEnd w:id="28"/>
      <w:r>
        <w:rPr>
          <w:rFonts w:ascii="Times New Roman" w:hAnsi="Times New Roman" w:cs="Times New Roman"/>
          <w:color w:val="000000"/>
          <w:sz w:val="24"/>
          <w:szCs w:val="24"/>
        </w:rPr>
        <w:fldChar w:fldCharType="begin"/>
      </w:r>
      <w:r>
        <w:rPr>
          <w:rFonts w:ascii="Times New Roman" w:hAnsi="Times New Roman" w:cs="Times New Roman"/>
          <w:color w:val="000000"/>
          <w:sz w:val="24"/>
          <w:szCs w:val="24"/>
        </w:rPr>
        <w:instrText>HYPERLINK \l "Document1zzF32022242875"</w:instrText>
      </w:r>
      <w:r>
        <w:rPr>
          <w:rFonts w:ascii="Times New Roman" w:hAnsi="Times New Roman" w:cs="Times New Roman"/>
          <w:color w:val="000000"/>
          <w:sz w:val="24"/>
          <w:szCs w:val="24"/>
        </w:rPr>
      </w:r>
      <w:r>
        <w:rPr>
          <w:rFonts w:ascii="Times New Roman" w:hAnsi="Times New Roman" w:cs="Times New Roman"/>
          <w:color w:val="000000"/>
          <w:sz w:val="24"/>
          <w:szCs w:val="24"/>
        </w:rPr>
        <w:fldChar w:fldCharType="separate"/>
      </w:r>
      <w:r>
        <w:rPr>
          <w:rFonts w:ascii="Times New Roman" w:hAnsi="Times New Roman" w:cs="Times New Roman"/>
          <w:color w:val="0000FF"/>
          <w:sz w:val="20"/>
          <w:szCs w:val="20"/>
          <w:u w:val="single"/>
        </w:rPr>
        <w:t>[3]</w:t>
      </w:r>
      <w:r>
        <w:rPr>
          <w:rFonts w:ascii="Times New Roman" w:hAnsi="Times New Roman" w:cs="Times New Roman"/>
          <w:color w:val="000000"/>
          <w:sz w:val="24"/>
          <w:szCs w:val="24"/>
        </w:rPr>
        <w:fldChar w:fldCharType="end"/>
      </w:r>
      <w:bookmarkStart w:id="29" w:name="Document1zzB32022242875"/>
      <w:bookmarkEnd w:id="29"/>
      <w:r>
        <w:rPr>
          <w:rFonts w:ascii="Times New Roman" w:hAnsi="Times New Roman" w:cs="Times New Roman"/>
          <w:color w:val="000000"/>
          <w:sz w:val="24"/>
          <w:szCs w:val="24"/>
        </w:rPr>
        <w:fldChar w:fldCharType="begin"/>
      </w:r>
      <w:r>
        <w:rPr>
          <w:rFonts w:ascii="Times New Roman" w:hAnsi="Times New Roman" w:cs="Times New Roman"/>
          <w:color w:val="000000"/>
          <w:sz w:val="24"/>
          <w:szCs w:val="24"/>
        </w:rPr>
        <w:instrText>HYPERLINK \l "Document1zzF42022242875"</w:instrText>
      </w:r>
      <w:r>
        <w:rPr>
          <w:rFonts w:ascii="Times New Roman" w:hAnsi="Times New Roman" w:cs="Times New Roman"/>
          <w:color w:val="000000"/>
          <w:sz w:val="24"/>
          <w:szCs w:val="24"/>
        </w:rPr>
      </w:r>
      <w:r>
        <w:rPr>
          <w:rFonts w:ascii="Times New Roman" w:hAnsi="Times New Roman" w:cs="Times New Roman"/>
          <w:color w:val="000000"/>
          <w:sz w:val="24"/>
          <w:szCs w:val="24"/>
        </w:rPr>
        <w:fldChar w:fldCharType="separate"/>
      </w:r>
      <w:r>
        <w:rPr>
          <w:rFonts w:ascii="Times New Roman" w:hAnsi="Times New Roman" w:cs="Times New Roman"/>
          <w:color w:val="0000FF"/>
          <w:sz w:val="20"/>
          <w:szCs w:val="20"/>
          <w:u w:val="single"/>
        </w:rPr>
        <w:t>[4]</w:t>
      </w:r>
      <w:r>
        <w:rPr>
          <w:rFonts w:ascii="Times New Roman" w:hAnsi="Times New Roman" w:cs="Times New Roman"/>
          <w:color w:val="000000"/>
          <w:sz w:val="24"/>
          <w:szCs w:val="24"/>
        </w:rPr>
        <w:fldChar w:fldCharType="end"/>
      </w:r>
      <w:bookmarkStart w:id="30" w:name="Document1zzB42022242875"/>
      <w:bookmarkEnd w:id="30"/>
      <w:r>
        <w:rPr>
          <w:rFonts w:ascii="Times New Roman" w:hAnsi="Times New Roman" w:cs="Times New Roman"/>
          <w:color w:val="000000"/>
          <w:sz w:val="20"/>
          <w:szCs w:val="20"/>
        </w:rPr>
        <w:t xml:space="preserve"> BAPCPA left the term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undefined but</w:t>
      </w:r>
      <w:r>
        <w:rPr>
          <w:rFonts w:ascii="Times New Roman" w:hAnsi="Times New Roman" w:cs="Times New Roman"/>
          <w:color w:val="000000"/>
          <w:sz w:val="20"/>
          <w:szCs w:val="20"/>
        </w:rPr>
        <w:t xml:space="preserve"> specified in some detail how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is to be calc</w:t>
      </w:r>
      <w:r>
        <w:rPr>
          <w:rFonts w:ascii="Times New Roman" w:hAnsi="Times New Roman" w:cs="Times New Roman"/>
          <w:color w:val="000000"/>
          <w:sz w:val="20"/>
          <w:szCs w:val="20"/>
        </w:rPr>
        <w:t>u</w:t>
      </w:r>
      <w:r>
        <w:rPr>
          <w:rFonts w:ascii="Times New Roman" w:hAnsi="Times New Roman" w:cs="Times New Roman"/>
          <w:color w:val="000000"/>
          <w:sz w:val="20"/>
          <w:szCs w:val="20"/>
        </w:rPr>
        <w:t xml:space="preserve">lated.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is now defined as </w:t>
      </w:r>
      <w:r>
        <w:rPr>
          <w:rFonts w:ascii="Times New Roman" w:hAnsi="Times New Roman" w:cs="Times New Roman"/>
          <w:color w:val="000000"/>
          <w:sz w:val="20"/>
          <w:szCs w:val="20"/>
        </w:rPr>
        <w:t>“</w:t>
      </w:r>
      <w:r>
        <w:rPr>
          <w:rFonts w:ascii="Times New Roman" w:hAnsi="Times New Roman" w:cs="Times New Roman"/>
          <w:color w:val="000000"/>
          <w:sz w:val="20"/>
          <w:szCs w:val="20"/>
        </w:rPr>
        <w:t>current monthly income received by the debtor</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less </w:t>
      </w:r>
      <w:r>
        <w:rPr>
          <w:rFonts w:ascii="Times New Roman" w:hAnsi="Times New Roman" w:cs="Times New Roman"/>
          <w:color w:val="000000"/>
          <w:sz w:val="20"/>
          <w:szCs w:val="20"/>
        </w:rPr>
        <w:t>“</w:t>
      </w:r>
      <w:r>
        <w:rPr>
          <w:rFonts w:ascii="Times New Roman" w:hAnsi="Times New Roman" w:cs="Times New Roman"/>
          <w:color w:val="000000"/>
          <w:sz w:val="20"/>
          <w:szCs w:val="20"/>
        </w:rPr>
        <w:t>amounts reasonably necessary to be e</w:t>
      </w:r>
      <w:r>
        <w:rPr>
          <w:rFonts w:ascii="Times New Roman" w:hAnsi="Times New Roman" w:cs="Times New Roman"/>
          <w:color w:val="000000"/>
          <w:sz w:val="20"/>
          <w:szCs w:val="20"/>
        </w:rPr>
        <w:t>x</w:t>
      </w:r>
      <w:r>
        <w:rPr>
          <w:rFonts w:ascii="Times New Roman" w:hAnsi="Times New Roman" w:cs="Times New Roman"/>
          <w:color w:val="000000"/>
          <w:sz w:val="20"/>
          <w:szCs w:val="20"/>
        </w:rPr>
        <w:t>pended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for the debtor's mainte</w:t>
      </w:r>
      <w:r>
        <w:rPr>
          <w:rFonts w:ascii="Times New Roman" w:hAnsi="Times New Roman" w:cs="Times New Roman"/>
          <w:color w:val="000000"/>
          <w:sz w:val="20"/>
          <w:szCs w:val="20"/>
        </w:rPr>
        <w:t>n</w:t>
      </w:r>
      <w:r>
        <w:rPr>
          <w:rFonts w:ascii="Times New Roman" w:hAnsi="Times New Roman" w:cs="Times New Roman"/>
          <w:color w:val="000000"/>
          <w:sz w:val="20"/>
          <w:szCs w:val="20"/>
        </w:rPr>
        <w:t>ance and support, for qu</w:t>
      </w:r>
      <w:r>
        <w:rPr>
          <w:rFonts w:ascii="Times New Roman" w:hAnsi="Times New Roman" w:cs="Times New Roman"/>
          <w:color w:val="000000"/>
          <w:sz w:val="20"/>
          <w:szCs w:val="20"/>
        </w:rPr>
        <w:t>alifying charitable contrib</w:t>
      </w:r>
      <w:r>
        <w:rPr>
          <w:rFonts w:ascii="Times New Roman" w:hAnsi="Times New Roman" w:cs="Times New Roman"/>
          <w:color w:val="000000"/>
          <w:sz w:val="20"/>
          <w:szCs w:val="20"/>
        </w:rPr>
        <w:t>u</w:t>
      </w:r>
      <w:r>
        <w:rPr>
          <w:rFonts w:ascii="Times New Roman" w:hAnsi="Times New Roman" w:cs="Times New Roman"/>
          <w:color w:val="000000"/>
          <w:sz w:val="20"/>
          <w:szCs w:val="20"/>
        </w:rPr>
        <w:t xml:space="preserve">tions, and for business expenditures. </w:t>
      </w:r>
      <w:hyperlink r:id="rId167" w:history="1">
        <w:r>
          <w:rPr>
            <w:rFonts w:ascii="Times New Roman" w:hAnsi="Times New Roman" w:cs="Times New Roman"/>
            <w:color w:val="0000FF"/>
            <w:sz w:val="20"/>
            <w:szCs w:val="20"/>
            <w:u w:val="single"/>
          </w:rPr>
          <w:t>§ 1325(b)(2)(A)(i)</w:t>
        </w:r>
      </w:hyperlink>
      <w:r>
        <w:rPr>
          <w:rFonts w:ascii="Times New Roman" w:hAnsi="Times New Roman" w:cs="Times New Roman"/>
          <w:color w:val="000000"/>
          <w:sz w:val="20"/>
          <w:szCs w:val="20"/>
        </w:rPr>
        <w:t xml:space="preserve"> and (ii) (2006 ed.). </w:t>
      </w:r>
      <w:r>
        <w:rPr>
          <w:rFonts w:ascii="Times New Roman" w:hAnsi="Times New Roman" w:cs="Times New Roman"/>
          <w:color w:val="000000"/>
          <w:sz w:val="20"/>
          <w:szCs w:val="20"/>
        </w:rPr>
        <w:t>“</w:t>
      </w:r>
      <w:r>
        <w:rPr>
          <w:rFonts w:ascii="Times New Roman" w:hAnsi="Times New Roman" w:cs="Times New Roman"/>
          <w:color w:val="000000"/>
          <w:sz w:val="20"/>
          <w:szCs w:val="20"/>
        </w:rPr>
        <w:t>Current monthly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turn, is calculated by averaging the de</w:t>
      </w:r>
      <w:r>
        <w:rPr>
          <w:rFonts w:ascii="Times New Roman" w:hAnsi="Times New Roman" w:cs="Times New Roman"/>
          <w:color w:val="000000"/>
          <w:sz w:val="20"/>
          <w:szCs w:val="20"/>
        </w:rPr>
        <w:t>b</w:t>
      </w:r>
      <w:r>
        <w:rPr>
          <w:rFonts w:ascii="Times New Roman" w:hAnsi="Times New Roman" w:cs="Times New Roman"/>
          <w:color w:val="000000"/>
          <w:sz w:val="20"/>
          <w:szCs w:val="20"/>
        </w:rPr>
        <w:t>tor's monthly income during what the parties refer to as the 6-month look-back period, which generally consists of the six full months preceding the filing of the ba</w:t>
      </w:r>
      <w:r>
        <w:rPr>
          <w:rFonts w:ascii="Times New Roman" w:hAnsi="Times New Roman" w:cs="Times New Roman"/>
          <w:color w:val="000000"/>
          <w:sz w:val="20"/>
          <w:szCs w:val="20"/>
        </w:rPr>
        <w:t xml:space="preserve">nkruptcy petition. See </w:t>
      </w:r>
      <w:hyperlink r:id="rId168" w:history="1">
        <w:r>
          <w:rPr>
            <w:rFonts w:ascii="Times New Roman" w:hAnsi="Times New Roman" w:cs="Times New Roman"/>
            <w:color w:val="0000FF"/>
            <w:sz w:val="20"/>
            <w:szCs w:val="20"/>
            <w:u w:val="single"/>
          </w:rPr>
          <w:t>§ 101(10A)(A)(i)</w:t>
        </w:r>
      </w:hyperlink>
      <w:r>
        <w:rPr>
          <w:rFonts w:ascii="Times New Roman" w:hAnsi="Times New Roman" w:cs="Times New Roman"/>
          <w:color w:val="000000"/>
          <w:sz w:val="20"/>
          <w:szCs w:val="20"/>
        </w:rPr>
        <w:t>.</w:t>
      </w:r>
      <w:hyperlink w:anchor="Document1zzB00212022242875" w:history="1">
        <w:r>
          <w:rPr>
            <w:rFonts w:ascii="Times New Roman" w:hAnsi="Times New Roman" w:cs="Times New Roman"/>
            <w:color w:val="0000FF"/>
            <w:sz w:val="20"/>
            <w:szCs w:val="20"/>
            <w:u w:val="single"/>
            <w:vertAlign w:val="superscript"/>
          </w:rPr>
          <w:t>FN1</w:t>
        </w:r>
      </w:hyperlink>
      <w:bookmarkStart w:id="31" w:name="Document1zzF00212022242875"/>
      <w:bookmarkEnd w:id="31"/>
      <w:r>
        <w:rPr>
          <w:rFonts w:ascii="Times New Roman" w:hAnsi="Times New Roman" w:cs="Times New Roman"/>
          <w:color w:val="000000"/>
          <w:sz w:val="20"/>
          <w:szCs w:val="20"/>
        </w:rPr>
        <w:t xml:space="preserve"> The phrase </w:t>
      </w:r>
      <w:r>
        <w:rPr>
          <w:rFonts w:ascii="Times New Roman" w:hAnsi="Times New Roman" w:cs="Times New Roman"/>
          <w:color w:val="000000"/>
          <w:sz w:val="20"/>
          <w:szCs w:val="20"/>
        </w:rPr>
        <w:t>“</w:t>
      </w:r>
      <w:r>
        <w:rPr>
          <w:rFonts w:ascii="Times New Roman" w:hAnsi="Times New Roman" w:cs="Times New Roman"/>
          <w:color w:val="000000"/>
          <w:sz w:val="20"/>
          <w:szCs w:val="20"/>
        </w:rPr>
        <w:t>amounts reasonably necessary to be e</w:t>
      </w:r>
      <w:r>
        <w:rPr>
          <w:rFonts w:ascii="Times New Roman" w:hAnsi="Times New Roman" w:cs="Times New Roman"/>
          <w:color w:val="000000"/>
          <w:sz w:val="20"/>
          <w:szCs w:val="20"/>
        </w:rPr>
        <w:t>x</w:t>
      </w:r>
      <w:r>
        <w:rPr>
          <w:rFonts w:ascii="Times New Roman" w:hAnsi="Times New Roman" w:cs="Times New Roman"/>
          <w:color w:val="000000"/>
          <w:sz w:val="20"/>
          <w:szCs w:val="20"/>
        </w:rPr>
        <w:t>pended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w:t>
      </w:r>
      <w:hyperlink r:id="rId169" w:history="1">
        <w:r>
          <w:rPr>
            <w:rFonts w:ascii="Times New Roman" w:hAnsi="Times New Roman" w:cs="Times New Roman"/>
            <w:color w:val="0000FF"/>
            <w:sz w:val="20"/>
            <w:szCs w:val="20"/>
            <w:u w:val="single"/>
          </w:rPr>
          <w:t>§ 1325(b)(2)</w:t>
        </w:r>
      </w:hyperlink>
      <w:r>
        <w:rPr>
          <w:rFonts w:ascii="Times New Roman" w:hAnsi="Times New Roman" w:cs="Times New Roman"/>
          <w:color w:val="000000"/>
          <w:sz w:val="20"/>
          <w:szCs w:val="20"/>
        </w:rPr>
        <w:t xml:space="preserve"> is also newly defined. For a debtor whose income is below the median for his or her State, the phrase includes the full amount needed for </w:t>
      </w:r>
      <w:r>
        <w:rPr>
          <w:rFonts w:ascii="Times New Roman" w:hAnsi="Times New Roman" w:cs="Times New Roman"/>
          <w:color w:val="000000"/>
          <w:sz w:val="20"/>
          <w:szCs w:val="20"/>
        </w:rPr>
        <w:t>“</w:t>
      </w:r>
      <w:r>
        <w:rPr>
          <w:rFonts w:ascii="Times New Roman" w:hAnsi="Times New Roman" w:cs="Times New Roman"/>
          <w:color w:val="000000"/>
          <w:sz w:val="20"/>
          <w:szCs w:val="20"/>
        </w:rPr>
        <w:t>maintenance or support,</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see </w:t>
      </w:r>
      <w:hyperlink r:id="rId170" w:history="1">
        <w:r>
          <w:rPr>
            <w:rFonts w:ascii="Times New Roman" w:hAnsi="Times New Roman" w:cs="Times New Roman"/>
            <w:color w:val="0000FF"/>
            <w:sz w:val="20"/>
            <w:szCs w:val="20"/>
            <w:u w:val="single"/>
          </w:rPr>
          <w:t>§ 1325(b)(2)(A)(i)</w:t>
        </w:r>
      </w:hyperlink>
      <w:r>
        <w:rPr>
          <w:rFonts w:ascii="Times New Roman" w:hAnsi="Times New Roman" w:cs="Times New Roman"/>
          <w:color w:val="000000"/>
          <w:sz w:val="20"/>
          <w:szCs w:val="20"/>
        </w:rPr>
        <w:t>, but for a debtor with income that exceeds the state median, only certain specified expenses are i</w:t>
      </w:r>
      <w:r>
        <w:rPr>
          <w:rFonts w:ascii="Times New Roman" w:hAnsi="Times New Roman" w:cs="Times New Roman"/>
          <w:color w:val="000000"/>
          <w:sz w:val="20"/>
          <w:szCs w:val="20"/>
        </w:rPr>
        <w:t>n</w:t>
      </w:r>
      <w:r>
        <w:rPr>
          <w:rFonts w:ascii="Times New Roman" w:hAnsi="Times New Roman" w:cs="Times New Roman"/>
          <w:color w:val="000000"/>
          <w:sz w:val="20"/>
          <w:szCs w:val="20"/>
        </w:rPr>
        <w:t>cluded,</w:t>
      </w:r>
      <w:hyperlink w:anchor="Document1zzB00322022242875" w:history="1">
        <w:r>
          <w:rPr>
            <w:rFonts w:ascii="Times New Roman" w:hAnsi="Times New Roman" w:cs="Times New Roman"/>
            <w:color w:val="0000FF"/>
            <w:sz w:val="20"/>
            <w:szCs w:val="20"/>
            <w:u w:val="single"/>
            <w:vertAlign w:val="superscript"/>
          </w:rPr>
          <w:t>FN2</w:t>
        </w:r>
      </w:hyperlink>
      <w:bookmarkStart w:id="32" w:name="Document1zzF00322022242875"/>
      <w:bookmarkEnd w:id="32"/>
      <w:r>
        <w:rPr>
          <w:rFonts w:ascii="Times New Roman" w:hAnsi="Times New Roman" w:cs="Times New Roman"/>
          <w:color w:val="000000"/>
          <w:sz w:val="20"/>
          <w:szCs w:val="20"/>
        </w:rPr>
        <w:t xml:space="preserve"> see </w:t>
      </w:r>
      <w:hyperlink r:id="rId171" w:history="1">
        <w:r>
          <w:rPr>
            <w:rFonts w:ascii="Times New Roman" w:hAnsi="Times New Roman" w:cs="Times New Roman"/>
            <w:color w:val="0000FF"/>
            <w:sz w:val="20"/>
            <w:szCs w:val="20"/>
            <w:u w:val="single"/>
          </w:rPr>
          <w:t>§§ 707(b)(2)</w:t>
        </w:r>
      </w:hyperlink>
      <w:r>
        <w:rPr>
          <w:rFonts w:ascii="Times New Roman" w:hAnsi="Times New Roman" w:cs="Times New Roman"/>
          <w:color w:val="000000"/>
          <w:sz w:val="20"/>
          <w:szCs w:val="20"/>
        </w:rPr>
        <w:t xml:space="preserve">, </w:t>
      </w:r>
      <w:hyperlink r:id="rId172" w:history="1">
        <w:r>
          <w:rPr>
            <w:rFonts w:ascii="Times New Roman" w:hAnsi="Times New Roman" w:cs="Times New Roman"/>
            <w:color w:val="0000FF"/>
            <w:sz w:val="20"/>
            <w:szCs w:val="20"/>
            <w:u w:val="single"/>
          </w:rPr>
          <w:t>1325(b)(3)(A)</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ind w:left="720"/>
        <w:jc w:val="both"/>
        <w:rPr>
          <w:rFonts w:ascii="Times New Roman" w:hAnsi="Times New Roman" w:cs="Times New Roman"/>
          <w:color w:val="000000"/>
          <w:sz w:val="24"/>
          <w:szCs w:val="24"/>
        </w:rPr>
      </w:pPr>
      <w:hyperlink w:anchor="Document1zzF00212022242875" w:history="1">
        <w:r>
          <w:rPr>
            <w:rFonts w:ascii="Times New Roman" w:hAnsi="Times New Roman" w:cs="Times New Roman"/>
            <w:color w:val="0000FF"/>
            <w:sz w:val="20"/>
            <w:szCs w:val="20"/>
            <w:u w:val="single"/>
          </w:rPr>
          <w:t>FN</w:t>
        </w:r>
        <w:r>
          <w:rPr>
            <w:rFonts w:ascii="Times New Roman" w:hAnsi="Times New Roman" w:cs="Times New Roman"/>
            <w:color w:val="0000FF"/>
            <w:sz w:val="20"/>
            <w:szCs w:val="20"/>
            <w:u w:val="single"/>
          </w:rPr>
          <w:t>1.</w:t>
        </w:r>
      </w:hyperlink>
      <w:bookmarkStart w:id="33" w:name="Document1zzB00212022242875"/>
      <w:bookmarkEnd w:id="33"/>
      <w:r>
        <w:rPr>
          <w:rFonts w:ascii="Times New Roman" w:hAnsi="Times New Roman" w:cs="Times New Roman"/>
          <w:color w:val="000000"/>
          <w:sz w:val="20"/>
          <w:szCs w:val="20"/>
        </w:rPr>
        <w:t xml:space="preserve"> However, if a debtor does not file the required schedule (Schedule I), the ban</w:t>
      </w:r>
      <w:r>
        <w:rPr>
          <w:rFonts w:ascii="Times New Roman" w:hAnsi="Times New Roman" w:cs="Times New Roman"/>
          <w:color w:val="000000"/>
          <w:sz w:val="20"/>
          <w:szCs w:val="20"/>
        </w:rPr>
        <w:t>k</w:t>
      </w:r>
      <w:r>
        <w:rPr>
          <w:rFonts w:ascii="Times New Roman" w:hAnsi="Times New Roman" w:cs="Times New Roman"/>
          <w:color w:val="000000"/>
          <w:sz w:val="20"/>
          <w:szCs w:val="20"/>
        </w:rPr>
        <w:t xml:space="preserve">ruptcy court may select a different 6-month period. See </w:t>
      </w:r>
      <w:hyperlink r:id="rId173" w:history="1">
        <w:r>
          <w:rPr>
            <w:rFonts w:ascii="Times New Roman" w:hAnsi="Times New Roman" w:cs="Times New Roman"/>
            <w:color w:val="0000FF"/>
            <w:sz w:val="20"/>
            <w:szCs w:val="20"/>
            <w:u w:val="single"/>
          </w:rPr>
          <w:t>§ 101(10A)(A)(ii)</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ind w:left="720"/>
        <w:jc w:val="both"/>
        <w:rPr>
          <w:rFonts w:ascii="Times New Roman" w:hAnsi="Times New Roman" w:cs="Times New Roman"/>
          <w:color w:val="000000"/>
          <w:sz w:val="24"/>
          <w:szCs w:val="24"/>
        </w:rPr>
      </w:pPr>
      <w:hyperlink w:anchor="Document1zzF00322022242875" w:history="1">
        <w:r>
          <w:rPr>
            <w:rFonts w:ascii="Times New Roman" w:hAnsi="Times New Roman" w:cs="Times New Roman"/>
            <w:color w:val="0000FF"/>
            <w:sz w:val="20"/>
            <w:szCs w:val="20"/>
            <w:u w:val="single"/>
          </w:rPr>
          <w:t>FN2.</w:t>
        </w:r>
      </w:hyperlink>
      <w:bookmarkStart w:id="34" w:name="Document1zzB00322022242875"/>
      <w:bookmarkEnd w:id="34"/>
      <w:r>
        <w:rPr>
          <w:rFonts w:ascii="Times New Roman" w:hAnsi="Times New Roman" w:cs="Times New Roman"/>
          <w:color w:val="000000"/>
          <w:sz w:val="20"/>
          <w:szCs w:val="20"/>
        </w:rPr>
        <w:t xml:space="preserve"> The formula for above-median-income debtors is known as the </w:t>
      </w:r>
      <w:r>
        <w:rPr>
          <w:rFonts w:ascii="Times New Roman" w:hAnsi="Times New Roman" w:cs="Times New Roman"/>
          <w:color w:val="000000"/>
          <w:sz w:val="20"/>
          <w:szCs w:val="20"/>
        </w:rPr>
        <w:t>“</w:t>
      </w:r>
      <w:r>
        <w:rPr>
          <w:rFonts w:ascii="Times New Roman" w:hAnsi="Times New Roman" w:cs="Times New Roman"/>
          <w:color w:val="000000"/>
          <w:sz w:val="20"/>
          <w:szCs w:val="20"/>
        </w:rPr>
        <w:t>means test</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and is reflected in a schedule (Form 22C) that a Chapter 13 debtor must file. See Fed. Rule Bkrtcy. Proc. Official Form 22C (2009); </w:t>
      </w:r>
      <w:hyperlink r:id="rId174" w:history="1">
        <w:r>
          <w:rPr>
            <w:rFonts w:ascii="Times New Roman" w:hAnsi="Times New Roman" w:cs="Times New Roman"/>
            <w:i/>
            <w:iCs/>
            <w:color w:val="0000FF"/>
            <w:sz w:val="20"/>
            <w:szCs w:val="20"/>
            <w:u w:val="single"/>
          </w:rPr>
          <w:t>In re Liverman,</w:t>
        </w:r>
      </w:hyperlink>
      <w:hyperlink r:id="rId175" w:history="1">
        <w:r>
          <w:rPr>
            <w:rFonts w:ascii="Times New Roman" w:hAnsi="Times New Roman" w:cs="Times New Roman"/>
            <w:color w:val="0000FF"/>
            <w:sz w:val="20"/>
            <w:szCs w:val="20"/>
            <w:u w:val="single"/>
          </w:rPr>
          <w:t xml:space="preserve"> 383 B.R. 604, 606, n. 1, 608-609 (Bkrtcy.N.J.2008)</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II</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A</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*5</w:t>
      </w:r>
      <w:r>
        <w:rPr>
          <w:rFonts w:ascii="Times New Roman" w:hAnsi="Times New Roman" w:cs="Times New Roman"/>
          <w:color w:val="000000"/>
          <w:sz w:val="20"/>
          <w:szCs w:val="20"/>
        </w:rPr>
        <w:t xml:space="preserve"> Respondent had $36,793.36 in unsecured debt when she filed for Chapter 13 bankruptcy protection in October 2006. In the six months before her filing, she received a one-time buyout from her former employer, and this payment greatly inflated her gross inco</w:t>
      </w:r>
      <w:r>
        <w:rPr>
          <w:rFonts w:ascii="Times New Roman" w:hAnsi="Times New Roman" w:cs="Times New Roman"/>
          <w:color w:val="000000"/>
          <w:sz w:val="20"/>
          <w:szCs w:val="20"/>
        </w:rPr>
        <w:t>me for April 2006 (to $11,990.03) and for May 2006 (to $15,356.42). App. 84, 107. As a result of these pa</w:t>
      </w:r>
      <w:r>
        <w:rPr>
          <w:rFonts w:ascii="Times New Roman" w:hAnsi="Times New Roman" w:cs="Times New Roman"/>
          <w:color w:val="000000"/>
          <w:sz w:val="20"/>
          <w:szCs w:val="20"/>
        </w:rPr>
        <w:t>y</w:t>
      </w:r>
      <w:r>
        <w:rPr>
          <w:rFonts w:ascii="Times New Roman" w:hAnsi="Times New Roman" w:cs="Times New Roman"/>
          <w:color w:val="000000"/>
          <w:sz w:val="20"/>
          <w:szCs w:val="20"/>
        </w:rPr>
        <w:t>ments, respondent's current monthly income, as a</w:t>
      </w:r>
      <w:r>
        <w:rPr>
          <w:rFonts w:ascii="Times New Roman" w:hAnsi="Times New Roman" w:cs="Times New Roman"/>
          <w:color w:val="000000"/>
          <w:sz w:val="20"/>
          <w:szCs w:val="20"/>
        </w:rPr>
        <w:t>v</w:t>
      </w:r>
      <w:r>
        <w:rPr>
          <w:rFonts w:ascii="Times New Roman" w:hAnsi="Times New Roman" w:cs="Times New Roman"/>
          <w:color w:val="000000"/>
          <w:sz w:val="20"/>
          <w:szCs w:val="20"/>
        </w:rPr>
        <w:lastRenderedPageBreak/>
        <w:t>eraged from April through October 2006, was $5,343.70-a figure that exceeds the median income for a f</w:t>
      </w:r>
      <w:r>
        <w:rPr>
          <w:rFonts w:ascii="Times New Roman" w:hAnsi="Times New Roman" w:cs="Times New Roman"/>
          <w:color w:val="000000"/>
          <w:sz w:val="20"/>
          <w:szCs w:val="20"/>
        </w:rPr>
        <w:t xml:space="preserve">amily of one in Kansas. See </w:t>
      </w:r>
      <w:r>
        <w:rPr>
          <w:rFonts w:ascii="Times New Roman" w:hAnsi="Times New Roman" w:cs="Times New Roman"/>
          <w:i/>
          <w:iCs/>
          <w:color w:val="000000"/>
          <w:sz w:val="20"/>
          <w:szCs w:val="20"/>
        </w:rPr>
        <w:t>id.,</w:t>
      </w:r>
      <w:r>
        <w:rPr>
          <w:rFonts w:ascii="Times New Roman" w:hAnsi="Times New Roman" w:cs="Times New Roman"/>
          <w:color w:val="000000"/>
          <w:sz w:val="20"/>
          <w:szCs w:val="20"/>
        </w:rPr>
        <w:t xml:space="preserve"> at 78. Respo</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dent's monthly expenses, calculated pursuant to </w:t>
      </w:r>
      <w:hyperlink r:id="rId176" w:history="1">
        <w:r>
          <w:rPr>
            <w:rFonts w:ascii="Times New Roman" w:hAnsi="Times New Roman" w:cs="Times New Roman"/>
            <w:color w:val="0000FF"/>
            <w:sz w:val="20"/>
            <w:szCs w:val="20"/>
            <w:u w:val="single"/>
          </w:rPr>
          <w:t>§ 707(b)(2)</w:t>
        </w:r>
      </w:hyperlink>
      <w:r>
        <w:rPr>
          <w:rFonts w:ascii="Times New Roman" w:hAnsi="Times New Roman" w:cs="Times New Roman"/>
          <w:color w:val="000000"/>
          <w:sz w:val="20"/>
          <w:szCs w:val="20"/>
        </w:rPr>
        <w:t xml:space="preserve">, were $4,228.71. </w:t>
      </w:r>
      <w:r>
        <w:rPr>
          <w:rFonts w:ascii="Times New Roman" w:hAnsi="Times New Roman" w:cs="Times New Roman"/>
          <w:i/>
          <w:iCs/>
          <w:color w:val="000000"/>
          <w:sz w:val="20"/>
          <w:szCs w:val="20"/>
        </w:rPr>
        <w:t>Id.,</w:t>
      </w:r>
      <w:r>
        <w:rPr>
          <w:rFonts w:ascii="Times New Roman" w:hAnsi="Times New Roman" w:cs="Times New Roman"/>
          <w:color w:val="000000"/>
          <w:sz w:val="20"/>
          <w:szCs w:val="20"/>
        </w:rPr>
        <w:t xml:space="preserve"> at 83. She reported a monthly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of $1,114.98 on Form 22C. </w:t>
      </w:r>
      <w:r>
        <w:rPr>
          <w:rFonts w:ascii="Times New Roman" w:hAnsi="Times New Roman" w:cs="Times New Roman"/>
          <w:i/>
          <w:iCs/>
          <w:color w:val="000000"/>
          <w:sz w:val="20"/>
          <w:szCs w:val="20"/>
        </w:rPr>
        <w:t>Ibid</w:t>
      </w:r>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On the form used for reporting monthly income (Schedule I), she reported income from her new job of $1,922 per month-which is below</w:t>
      </w:r>
      <w:r>
        <w:rPr>
          <w:rFonts w:ascii="Times New Roman" w:hAnsi="Times New Roman" w:cs="Times New Roman"/>
          <w:color w:val="000000"/>
          <w:sz w:val="20"/>
          <w:szCs w:val="20"/>
        </w:rPr>
        <w:t xml:space="preserve"> the state median. </w:t>
      </w:r>
      <w:r>
        <w:rPr>
          <w:rFonts w:ascii="Times New Roman" w:hAnsi="Times New Roman" w:cs="Times New Roman"/>
          <w:i/>
          <w:iCs/>
          <w:color w:val="000000"/>
          <w:sz w:val="20"/>
          <w:szCs w:val="20"/>
        </w:rPr>
        <w:t>Id.,</w:t>
      </w:r>
      <w:r>
        <w:rPr>
          <w:rFonts w:ascii="Times New Roman" w:hAnsi="Times New Roman" w:cs="Times New Roman"/>
          <w:color w:val="000000"/>
          <w:sz w:val="20"/>
          <w:szCs w:val="20"/>
        </w:rPr>
        <w:t xml:space="preserve"> at 66; see also </w:t>
      </w:r>
      <w:r>
        <w:rPr>
          <w:rFonts w:ascii="Times New Roman" w:hAnsi="Times New Roman" w:cs="Times New Roman"/>
          <w:i/>
          <w:iCs/>
          <w:color w:val="000000"/>
          <w:sz w:val="20"/>
          <w:szCs w:val="20"/>
        </w:rPr>
        <w:t>id.,</w:t>
      </w:r>
      <w:r>
        <w:rPr>
          <w:rFonts w:ascii="Times New Roman" w:hAnsi="Times New Roman" w:cs="Times New Roman"/>
          <w:color w:val="000000"/>
          <w:sz w:val="20"/>
          <w:szCs w:val="20"/>
        </w:rPr>
        <w:t xml:space="preserve"> at 78. On the form used for reporting monthly expenses (Schedule J), she reported actual monthly expenses of $1,772.97. </w:t>
      </w:r>
      <w:r>
        <w:rPr>
          <w:rFonts w:ascii="Times New Roman" w:hAnsi="Times New Roman" w:cs="Times New Roman"/>
          <w:i/>
          <w:iCs/>
          <w:color w:val="000000"/>
          <w:sz w:val="20"/>
          <w:szCs w:val="20"/>
        </w:rPr>
        <w:t>Id.,</w:t>
      </w:r>
      <w:r>
        <w:rPr>
          <w:rFonts w:ascii="Times New Roman" w:hAnsi="Times New Roman" w:cs="Times New Roman"/>
          <w:color w:val="000000"/>
          <w:sz w:val="20"/>
          <w:szCs w:val="20"/>
        </w:rPr>
        <w:t xml:space="preserve"> at 68. Subtracting the Schedule J figure from the Schedule I figure resulted in monthl</w:t>
      </w:r>
      <w:r>
        <w:rPr>
          <w:rFonts w:ascii="Times New Roman" w:hAnsi="Times New Roman" w:cs="Times New Roman"/>
          <w:color w:val="000000"/>
          <w:sz w:val="20"/>
          <w:szCs w:val="20"/>
        </w:rPr>
        <w:t>y disposable income of $149.03.</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Respondent filed a plan that would have required her to pay $144 per month for 36 months. See </w:t>
      </w:r>
      <w:r>
        <w:rPr>
          <w:rFonts w:ascii="Times New Roman" w:hAnsi="Times New Roman" w:cs="Times New Roman"/>
          <w:i/>
          <w:iCs/>
          <w:color w:val="000000"/>
          <w:sz w:val="20"/>
          <w:szCs w:val="20"/>
        </w:rPr>
        <w:t>id.,</w:t>
      </w:r>
      <w:r>
        <w:rPr>
          <w:rFonts w:ascii="Times New Roman" w:hAnsi="Times New Roman" w:cs="Times New Roman"/>
          <w:color w:val="000000"/>
          <w:sz w:val="20"/>
          <w:szCs w:val="20"/>
        </w:rPr>
        <w:t xml:space="preserve"> at 93. Petitioner, a private Chapter 13 trustee, objected to confirmation of the plan because the amount respo</w:t>
      </w:r>
      <w:r>
        <w:rPr>
          <w:rFonts w:ascii="Times New Roman" w:hAnsi="Times New Roman" w:cs="Times New Roman"/>
          <w:color w:val="000000"/>
          <w:sz w:val="20"/>
          <w:szCs w:val="20"/>
        </w:rPr>
        <w:t>n</w:t>
      </w:r>
      <w:r>
        <w:rPr>
          <w:rFonts w:ascii="Times New Roman" w:hAnsi="Times New Roman" w:cs="Times New Roman"/>
          <w:color w:val="000000"/>
          <w:sz w:val="20"/>
          <w:szCs w:val="20"/>
        </w:rPr>
        <w:t>dent proposed</w:t>
      </w:r>
      <w:r>
        <w:rPr>
          <w:rFonts w:ascii="Times New Roman" w:hAnsi="Times New Roman" w:cs="Times New Roman"/>
          <w:color w:val="000000"/>
          <w:sz w:val="20"/>
          <w:szCs w:val="20"/>
        </w:rPr>
        <w:t xml:space="preserve"> to pay was less than the full amount of the claims against her, see </w:t>
      </w:r>
      <w:hyperlink r:id="rId177" w:history="1">
        <w:r>
          <w:rPr>
            <w:rFonts w:ascii="Times New Roman" w:hAnsi="Times New Roman" w:cs="Times New Roman"/>
            <w:color w:val="0000FF"/>
            <w:sz w:val="20"/>
            <w:szCs w:val="20"/>
            <w:u w:val="single"/>
          </w:rPr>
          <w:t>§ 1325(b)(1)(A)</w:t>
        </w:r>
      </w:hyperlink>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and b</w:t>
      </w:r>
      <w:r>
        <w:rPr>
          <w:rFonts w:ascii="Times New Roman" w:hAnsi="Times New Roman" w:cs="Times New Roman"/>
          <w:color w:val="000000"/>
          <w:sz w:val="20"/>
          <w:szCs w:val="20"/>
        </w:rPr>
        <w:t>e</w:t>
      </w:r>
      <w:r>
        <w:rPr>
          <w:rFonts w:ascii="Times New Roman" w:hAnsi="Times New Roman" w:cs="Times New Roman"/>
          <w:color w:val="000000"/>
          <w:sz w:val="20"/>
          <w:szCs w:val="20"/>
        </w:rPr>
        <w:t>cause, in petitioner's view, respondent was not co</w:t>
      </w:r>
      <w:r>
        <w:rPr>
          <w:rFonts w:ascii="Times New Roman" w:hAnsi="Times New Roman" w:cs="Times New Roman"/>
          <w:color w:val="000000"/>
          <w:sz w:val="20"/>
          <w:szCs w:val="20"/>
        </w:rPr>
        <w:t>m</w:t>
      </w:r>
      <w:r>
        <w:rPr>
          <w:rFonts w:ascii="Times New Roman" w:hAnsi="Times New Roman" w:cs="Times New Roman"/>
          <w:color w:val="000000"/>
          <w:sz w:val="20"/>
          <w:szCs w:val="20"/>
        </w:rPr>
        <w:t xml:space="preserve">mitting all of her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to the repayment of creditors, see </w:t>
      </w:r>
      <w:hyperlink r:id="rId178" w:history="1">
        <w:r>
          <w:rPr>
            <w:rFonts w:ascii="Times New Roman" w:hAnsi="Times New Roman" w:cs="Times New Roman"/>
            <w:color w:val="0000FF"/>
            <w:sz w:val="20"/>
            <w:szCs w:val="20"/>
            <w:u w:val="single"/>
          </w:rPr>
          <w:t>§ 1325(b)(1)(B)</w:t>
        </w:r>
      </w:hyperlink>
      <w:r>
        <w:rPr>
          <w:rFonts w:ascii="Times New Roman" w:hAnsi="Times New Roman" w:cs="Times New Roman"/>
          <w:color w:val="000000"/>
          <w:sz w:val="20"/>
          <w:szCs w:val="20"/>
        </w:rPr>
        <w:t>. Accor</w:t>
      </w:r>
      <w:r>
        <w:rPr>
          <w:rFonts w:ascii="Times New Roman" w:hAnsi="Times New Roman" w:cs="Times New Roman"/>
          <w:color w:val="000000"/>
          <w:sz w:val="20"/>
          <w:szCs w:val="20"/>
        </w:rPr>
        <w:t>d</w:t>
      </w:r>
      <w:r>
        <w:rPr>
          <w:rFonts w:ascii="Times New Roman" w:hAnsi="Times New Roman" w:cs="Times New Roman"/>
          <w:color w:val="000000"/>
          <w:sz w:val="20"/>
          <w:szCs w:val="20"/>
        </w:rPr>
        <w:t>ing to petitioner, the proper way to calculate projected disposable income was simply to multiply dispos</w:t>
      </w:r>
      <w:r>
        <w:rPr>
          <w:rFonts w:ascii="Times New Roman" w:hAnsi="Times New Roman" w:cs="Times New Roman"/>
          <w:color w:val="000000"/>
          <w:sz w:val="20"/>
          <w:szCs w:val="20"/>
        </w:rPr>
        <w:t>a</w:t>
      </w:r>
      <w:r>
        <w:rPr>
          <w:rFonts w:ascii="Times New Roman" w:hAnsi="Times New Roman" w:cs="Times New Roman"/>
          <w:color w:val="000000"/>
          <w:sz w:val="20"/>
          <w:szCs w:val="20"/>
        </w:rPr>
        <w:t>ble income, as calculated on Form 22C, by the number of months in the c</w:t>
      </w:r>
      <w:r>
        <w:rPr>
          <w:rFonts w:ascii="Times New Roman" w:hAnsi="Times New Roman" w:cs="Times New Roman"/>
          <w:color w:val="000000"/>
          <w:sz w:val="20"/>
          <w:szCs w:val="20"/>
        </w:rPr>
        <w:t>ommitment period. Employing this mechanical approach, petitioner calculated that cre</w:t>
      </w:r>
      <w:r>
        <w:rPr>
          <w:rFonts w:ascii="Times New Roman" w:hAnsi="Times New Roman" w:cs="Times New Roman"/>
          <w:color w:val="000000"/>
          <w:sz w:val="20"/>
          <w:szCs w:val="20"/>
        </w:rPr>
        <w:t>d</w:t>
      </w:r>
      <w:r>
        <w:rPr>
          <w:rFonts w:ascii="Times New Roman" w:hAnsi="Times New Roman" w:cs="Times New Roman"/>
          <w:color w:val="000000"/>
          <w:sz w:val="20"/>
          <w:szCs w:val="20"/>
        </w:rPr>
        <w:t xml:space="preserve">itors would be paid in full if respondent made monthly payments of $756 for a period of 60 months. </w:t>
      </w:r>
      <w:r>
        <w:rPr>
          <w:rFonts w:ascii="Times New Roman" w:hAnsi="Times New Roman" w:cs="Times New Roman"/>
          <w:i/>
          <w:iCs/>
          <w:color w:val="000000"/>
          <w:sz w:val="20"/>
          <w:szCs w:val="20"/>
        </w:rPr>
        <w:t>Id.,</w:t>
      </w:r>
      <w:r>
        <w:rPr>
          <w:rFonts w:ascii="Times New Roman" w:hAnsi="Times New Roman" w:cs="Times New Roman"/>
          <w:color w:val="000000"/>
          <w:sz w:val="20"/>
          <w:szCs w:val="20"/>
        </w:rPr>
        <w:t xml:space="preserve"> at 108. There is no dispute that respondent's actual i</w:t>
      </w:r>
      <w:r>
        <w:rPr>
          <w:rFonts w:ascii="Times New Roman" w:hAnsi="Times New Roman" w:cs="Times New Roman"/>
          <w:color w:val="000000"/>
          <w:sz w:val="20"/>
          <w:szCs w:val="20"/>
        </w:rPr>
        <w:t>n</w:t>
      </w:r>
      <w:r>
        <w:rPr>
          <w:rFonts w:ascii="Times New Roman" w:hAnsi="Times New Roman" w:cs="Times New Roman"/>
          <w:color w:val="000000"/>
          <w:sz w:val="20"/>
          <w:szCs w:val="20"/>
        </w:rPr>
        <w:t>come was ins</w:t>
      </w:r>
      <w:r>
        <w:rPr>
          <w:rFonts w:ascii="Times New Roman" w:hAnsi="Times New Roman" w:cs="Times New Roman"/>
          <w:color w:val="000000"/>
          <w:sz w:val="20"/>
          <w:szCs w:val="20"/>
        </w:rPr>
        <w:t>ufficient to make payments in that amount. Tr. of Oral Arg. 3-4.</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B</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The Bankruptcy Court endorsed respondent's pr</w:t>
      </w:r>
      <w:r>
        <w:rPr>
          <w:rFonts w:ascii="Times New Roman" w:hAnsi="Times New Roman" w:cs="Times New Roman"/>
          <w:color w:val="000000"/>
          <w:sz w:val="20"/>
          <w:szCs w:val="20"/>
        </w:rPr>
        <w:t>o</w:t>
      </w:r>
      <w:r>
        <w:rPr>
          <w:rFonts w:ascii="Times New Roman" w:hAnsi="Times New Roman" w:cs="Times New Roman"/>
          <w:color w:val="000000"/>
          <w:sz w:val="20"/>
          <w:szCs w:val="20"/>
        </w:rPr>
        <w:t xml:space="preserve">posed monthly payment of $144 but required a 60-month plan period. </w:t>
      </w:r>
      <w:hyperlink r:id="rId179" w:history="1">
        <w:r>
          <w:rPr>
            <w:rFonts w:ascii="Times New Roman" w:hAnsi="Times New Roman" w:cs="Times New Roman"/>
            <w:color w:val="0000FF"/>
            <w:sz w:val="20"/>
            <w:szCs w:val="20"/>
            <w:u w:val="single"/>
          </w:rPr>
          <w:t>No. 06-41037 etc., 2007 WL 1451999, *8 (Bkrtcy.Kan.2007)</w:t>
        </w:r>
      </w:hyperlink>
      <w:r>
        <w:rPr>
          <w:rFonts w:ascii="Times New Roman" w:hAnsi="Times New Roman" w:cs="Times New Roman"/>
          <w:color w:val="000000"/>
          <w:sz w:val="20"/>
          <w:szCs w:val="20"/>
        </w:rPr>
        <w:t xml:space="preserve">. The court agreed with the majority view that the word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w:t>
      </w:r>
      <w:hyperlink r:id="rId180" w:history="1">
        <w:r>
          <w:rPr>
            <w:rFonts w:ascii="Times New Roman" w:hAnsi="Times New Roman" w:cs="Times New Roman"/>
            <w:color w:val="0000FF"/>
            <w:sz w:val="20"/>
            <w:szCs w:val="20"/>
            <w:u w:val="single"/>
          </w:rPr>
          <w:t>§ 1325(b)(1)(B)</w:t>
        </w:r>
      </w:hyperlink>
      <w:r>
        <w:rPr>
          <w:rFonts w:ascii="Times New Roman" w:hAnsi="Times New Roman" w:cs="Times New Roman"/>
          <w:color w:val="000000"/>
          <w:sz w:val="20"/>
          <w:szCs w:val="20"/>
        </w:rPr>
        <w:t xml:space="preserve"> requires courts </w:t>
      </w:r>
      <w:r>
        <w:rPr>
          <w:rFonts w:ascii="Times New Roman" w:hAnsi="Times New Roman" w:cs="Times New Roman"/>
          <w:color w:val="000000"/>
          <w:sz w:val="20"/>
          <w:szCs w:val="20"/>
        </w:rPr>
        <w:t>“</w:t>
      </w:r>
      <w:r>
        <w:rPr>
          <w:rFonts w:ascii="Times New Roman" w:hAnsi="Times New Roman" w:cs="Times New Roman"/>
          <w:color w:val="000000"/>
          <w:sz w:val="20"/>
          <w:szCs w:val="20"/>
        </w:rPr>
        <w:t>to consider at confi</w:t>
      </w:r>
      <w:r>
        <w:rPr>
          <w:rFonts w:ascii="Times New Roman" w:hAnsi="Times New Roman" w:cs="Times New Roman"/>
          <w:color w:val="000000"/>
          <w:sz w:val="20"/>
          <w:szCs w:val="20"/>
        </w:rPr>
        <w:t>r</w:t>
      </w:r>
      <w:r>
        <w:rPr>
          <w:rFonts w:ascii="Times New Roman" w:hAnsi="Times New Roman" w:cs="Times New Roman"/>
          <w:color w:val="000000"/>
          <w:sz w:val="20"/>
          <w:szCs w:val="20"/>
        </w:rPr>
        <w:t xml:space="preserve">mation the debtor's </w:t>
      </w:r>
      <w:r>
        <w:rPr>
          <w:rFonts w:ascii="Times New Roman" w:hAnsi="Times New Roman" w:cs="Times New Roman"/>
          <w:i/>
          <w:iCs/>
          <w:color w:val="000000"/>
          <w:sz w:val="20"/>
          <w:szCs w:val="20"/>
        </w:rPr>
        <w:t>actual</w:t>
      </w:r>
      <w:r>
        <w:rPr>
          <w:rFonts w:ascii="Times New Roman" w:hAnsi="Times New Roman" w:cs="Times New Roman"/>
          <w:color w:val="000000"/>
          <w:sz w:val="20"/>
          <w:szCs w:val="20"/>
        </w:rPr>
        <w:t xml:space="preserve"> income as it was reported on Schedule I.</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181" w:history="1">
        <w:r>
          <w:rPr>
            <w:rFonts w:ascii="Times New Roman" w:hAnsi="Times New Roman" w:cs="Times New Roman"/>
            <w:i/>
            <w:iCs/>
            <w:color w:val="0000FF"/>
            <w:sz w:val="20"/>
            <w:szCs w:val="20"/>
            <w:u w:val="single"/>
          </w:rPr>
          <w:t>Id.,</w:t>
        </w:r>
      </w:hyperlink>
      <w:hyperlink r:id="rId182" w:history="1">
        <w:r>
          <w:rPr>
            <w:rFonts w:ascii="Times New Roman" w:hAnsi="Times New Roman" w:cs="Times New Roman"/>
            <w:color w:val="0000FF"/>
            <w:sz w:val="20"/>
            <w:szCs w:val="20"/>
            <w:u w:val="single"/>
          </w:rPr>
          <w:t xml:space="preserve"> at *5</w:t>
        </w:r>
      </w:hyperlink>
      <w:r>
        <w:rPr>
          <w:rFonts w:ascii="Times New Roman" w:hAnsi="Times New Roman" w:cs="Times New Roman"/>
          <w:color w:val="000000"/>
          <w:sz w:val="20"/>
          <w:szCs w:val="20"/>
        </w:rPr>
        <w:t xml:space="preserve"> (emphasis added). This conclusion was warranted by the text of </w:t>
      </w:r>
      <w:hyperlink r:id="rId183" w:history="1">
        <w:r>
          <w:rPr>
            <w:rFonts w:ascii="Times New Roman" w:hAnsi="Times New Roman" w:cs="Times New Roman"/>
            <w:color w:val="0000FF"/>
            <w:sz w:val="20"/>
            <w:szCs w:val="20"/>
            <w:u w:val="single"/>
          </w:rPr>
          <w:t>§ 1325(b)(1)</w:t>
        </w:r>
      </w:hyperlink>
      <w:r>
        <w:rPr>
          <w:rFonts w:ascii="Times New Roman" w:hAnsi="Times New Roman" w:cs="Times New Roman"/>
          <w:color w:val="000000"/>
          <w:sz w:val="20"/>
          <w:szCs w:val="20"/>
        </w:rPr>
        <w:t>, the Bankruptcy Court reasoned, and was necessary to avoid the absurd re</w:t>
      </w:r>
      <w:r>
        <w:rPr>
          <w:rFonts w:ascii="Times New Roman" w:hAnsi="Times New Roman" w:cs="Times New Roman"/>
          <w:color w:val="000000"/>
          <w:sz w:val="20"/>
          <w:szCs w:val="20"/>
        </w:rPr>
        <w:t>sult of denying bankruptcy prote</w:t>
      </w:r>
      <w:r>
        <w:rPr>
          <w:rFonts w:ascii="Times New Roman" w:hAnsi="Times New Roman" w:cs="Times New Roman"/>
          <w:color w:val="000000"/>
          <w:sz w:val="20"/>
          <w:szCs w:val="20"/>
        </w:rPr>
        <w:t>c</w:t>
      </w:r>
      <w:r>
        <w:rPr>
          <w:rFonts w:ascii="Times New Roman" w:hAnsi="Times New Roman" w:cs="Times New Roman"/>
          <w:color w:val="000000"/>
          <w:sz w:val="20"/>
          <w:szCs w:val="20"/>
        </w:rPr>
        <w:t xml:space="preserve">tion to individuals with deteriorating finances in the </w:t>
      </w:r>
      <w:r>
        <w:rPr>
          <w:rFonts w:ascii="Times New Roman" w:hAnsi="Times New Roman" w:cs="Times New Roman"/>
          <w:color w:val="000000"/>
          <w:sz w:val="20"/>
          <w:szCs w:val="20"/>
        </w:rPr>
        <w:lastRenderedPageBreak/>
        <w:t xml:space="preserve">six months before filing. </w:t>
      </w:r>
      <w:hyperlink r:id="rId184" w:history="1">
        <w:r>
          <w:rPr>
            <w:rFonts w:ascii="Times New Roman" w:hAnsi="Times New Roman" w:cs="Times New Roman"/>
            <w:i/>
            <w:iCs/>
            <w:color w:val="0000FF"/>
            <w:sz w:val="20"/>
            <w:szCs w:val="20"/>
            <w:u w:val="single"/>
          </w:rPr>
          <w:t>Ibid</w:t>
        </w:r>
      </w:hyperlink>
      <w:hyperlink r:id="rId185" w:history="1">
        <w:r>
          <w:rPr>
            <w:rFonts w:ascii="Times New Roman" w:hAnsi="Times New Roman" w:cs="Times New Roman"/>
            <w:color w:val="0000FF"/>
            <w:sz w:val="20"/>
            <w:szCs w:val="20"/>
            <w:u w:val="single"/>
          </w:rPr>
          <w:t>.</w:t>
        </w:r>
      </w:hyperlink>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Petitioner appealed to the Tenth Circuit Bankruptcy Appellate Panel, which affirmed. </w:t>
      </w:r>
      <w:hyperlink r:id="rId186" w:history="1">
        <w:r>
          <w:rPr>
            <w:rFonts w:ascii="Times New Roman" w:hAnsi="Times New Roman" w:cs="Times New Roman"/>
            <w:color w:val="0000FF"/>
            <w:sz w:val="20"/>
            <w:szCs w:val="20"/>
            <w:u w:val="single"/>
          </w:rPr>
          <w:t>380 B.R. 17, 19 (2007)</w:t>
        </w:r>
      </w:hyperlink>
      <w:r>
        <w:rPr>
          <w:rFonts w:ascii="Times New Roman" w:hAnsi="Times New Roman" w:cs="Times New Roman"/>
          <w:color w:val="000000"/>
          <w:sz w:val="20"/>
          <w:szCs w:val="20"/>
        </w:rPr>
        <w:t>. The Panel noted that, although Co</w:t>
      </w:r>
      <w:r>
        <w:rPr>
          <w:rFonts w:ascii="Times New Roman" w:hAnsi="Times New Roman" w:cs="Times New Roman"/>
          <w:color w:val="000000"/>
          <w:sz w:val="20"/>
          <w:szCs w:val="20"/>
        </w:rPr>
        <w:t>n</w:t>
      </w:r>
      <w:r>
        <w:rPr>
          <w:rFonts w:ascii="Times New Roman" w:hAnsi="Times New Roman" w:cs="Times New Roman"/>
          <w:color w:val="000000"/>
          <w:sz w:val="20"/>
          <w:szCs w:val="20"/>
        </w:rPr>
        <w:t>gress r</w:t>
      </w:r>
      <w:r>
        <w:rPr>
          <w:rFonts w:ascii="Times New Roman" w:hAnsi="Times New Roman" w:cs="Times New Roman"/>
          <w:color w:val="000000"/>
          <w:sz w:val="20"/>
          <w:szCs w:val="20"/>
        </w:rPr>
        <w:t>e</w:t>
      </w:r>
      <w:r>
        <w:rPr>
          <w:rFonts w:ascii="Times New Roman" w:hAnsi="Times New Roman" w:cs="Times New Roman"/>
          <w:color w:val="000000"/>
          <w:sz w:val="20"/>
          <w:szCs w:val="20"/>
        </w:rPr>
        <w:t xml:space="preserve">defined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2005, it chose not to alter the pre-existing term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w:t>
      </w:r>
      <w:r>
        <w:rPr>
          <w:rFonts w:ascii="Times New Roman" w:hAnsi="Times New Roman" w:cs="Times New Roman"/>
          <w:color w:val="000000"/>
          <w:sz w:val="20"/>
          <w:szCs w:val="20"/>
        </w:rPr>
        <w:t>n</w:t>
      </w:r>
      <w:r>
        <w:rPr>
          <w:rFonts w:ascii="Times New Roman" w:hAnsi="Times New Roman" w:cs="Times New Roman"/>
          <w:color w:val="000000"/>
          <w:sz w:val="20"/>
          <w:szCs w:val="20"/>
        </w:rPr>
        <w:t>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187" w:history="1">
        <w:r>
          <w:rPr>
            <w:rFonts w:ascii="Times New Roman" w:hAnsi="Times New Roman" w:cs="Times New Roman"/>
            <w:i/>
            <w:iCs/>
            <w:color w:val="0000FF"/>
            <w:sz w:val="20"/>
            <w:szCs w:val="20"/>
            <w:u w:val="single"/>
          </w:rPr>
          <w:t>Id.,</w:t>
        </w:r>
      </w:hyperlink>
      <w:hyperlink r:id="rId188" w:history="1">
        <w:r>
          <w:rPr>
            <w:rFonts w:ascii="Times New Roman" w:hAnsi="Times New Roman" w:cs="Times New Roman"/>
            <w:color w:val="0000FF"/>
            <w:sz w:val="20"/>
            <w:szCs w:val="20"/>
            <w:u w:val="single"/>
          </w:rPr>
          <w:t xml:space="preserve"> at 24.</w:t>
        </w:r>
      </w:hyperlink>
      <w:r>
        <w:rPr>
          <w:rFonts w:ascii="Times New Roman" w:hAnsi="Times New Roman" w:cs="Times New Roman"/>
          <w:color w:val="000000"/>
          <w:sz w:val="20"/>
          <w:szCs w:val="20"/>
        </w:rPr>
        <w:t xml:space="preserve"> Thus, the Panel concluded, there was no reason to believe that Con</w:t>
      </w:r>
      <w:r>
        <w:rPr>
          <w:rFonts w:ascii="Times New Roman" w:hAnsi="Times New Roman" w:cs="Times New Roman"/>
          <w:color w:val="000000"/>
          <w:sz w:val="20"/>
          <w:szCs w:val="20"/>
        </w:rPr>
        <w:t>gress intended to alter the pre-BAPCPA practice under which bankruptcy courts determined projected disposable income by reference to Schedules I and J but considered other evidence when there was reason to believe that the schedules did not reflect a debto</w:t>
      </w:r>
      <w:r>
        <w:rPr>
          <w:rFonts w:ascii="Times New Roman" w:hAnsi="Times New Roman" w:cs="Times New Roman"/>
          <w:color w:val="000000"/>
          <w:sz w:val="20"/>
          <w:szCs w:val="20"/>
        </w:rPr>
        <w:t xml:space="preserve">r's actual ability to pay. </w:t>
      </w:r>
      <w:hyperlink r:id="rId189" w:history="1">
        <w:r>
          <w:rPr>
            <w:rFonts w:ascii="Times New Roman" w:hAnsi="Times New Roman" w:cs="Times New Roman"/>
            <w:i/>
            <w:iCs/>
            <w:color w:val="0000FF"/>
            <w:sz w:val="20"/>
            <w:szCs w:val="20"/>
            <w:u w:val="single"/>
          </w:rPr>
          <w:t>Ibid</w:t>
        </w:r>
      </w:hyperlink>
      <w:hyperlink r:id="rId190" w:history="1">
        <w:r>
          <w:rPr>
            <w:rFonts w:ascii="Times New Roman" w:hAnsi="Times New Roman" w:cs="Times New Roman"/>
            <w:color w:val="0000FF"/>
            <w:sz w:val="20"/>
            <w:szCs w:val="20"/>
            <w:u w:val="single"/>
          </w:rPr>
          <w:t>.</w:t>
        </w:r>
      </w:hyperlink>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The Tenth Circuit </w:t>
      </w:r>
      <w:r>
        <w:rPr>
          <w:rFonts w:ascii="Times New Roman" w:hAnsi="Times New Roman" w:cs="Times New Roman"/>
          <w:color w:val="000000"/>
          <w:sz w:val="20"/>
          <w:szCs w:val="20"/>
        </w:rPr>
        <w:t xml:space="preserve">affirmed. </w:t>
      </w:r>
      <w:hyperlink r:id="rId191" w:history="1">
        <w:r>
          <w:rPr>
            <w:rFonts w:ascii="Times New Roman" w:hAnsi="Times New Roman" w:cs="Times New Roman"/>
            <w:color w:val="0000FF"/>
            <w:sz w:val="20"/>
            <w:szCs w:val="20"/>
            <w:u w:val="single"/>
          </w:rPr>
          <w:t>545 F.3d 1269, 1270 (2008)</w:t>
        </w:r>
      </w:hyperlink>
      <w:r>
        <w:rPr>
          <w:rFonts w:ascii="Times New Roman" w:hAnsi="Times New Roman" w:cs="Times New Roman"/>
          <w:color w:val="000000"/>
          <w:sz w:val="20"/>
          <w:szCs w:val="20"/>
        </w:rPr>
        <w:t xml:space="preserve">. According to the Tenth Circuit, a court, in calculating </w:t>
      </w:r>
      <w:r>
        <w:rPr>
          <w:rFonts w:ascii="Times New Roman" w:hAnsi="Times New Roman" w:cs="Times New Roman"/>
          <w:color w:val="000000"/>
          <w:sz w:val="20"/>
          <w:szCs w:val="20"/>
        </w:rPr>
        <w:t>“</w:t>
      </w:r>
      <w:r>
        <w:rPr>
          <w:rFonts w:ascii="Times New Roman" w:hAnsi="Times New Roman" w:cs="Times New Roman"/>
          <w:color w:val="000000"/>
          <w:sz w:val="20"/>
          <w:szCs w:val="20"/>
        </w:rPr>
        <w:t>proje</w:t>
      </w:r>
      <w:r>
        <w:rPr>
          <w:rFonts w:ascii="Times New Roman" w:hAnsi="Times New Roman" w:cs="Times New Roman"/>
          <w:color w:val="000000"/>
          <w:sz w:val="20"/>
          <w:szCs w:val="20"/>
        </w:rPr>
        <w:t>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should begin with the </w:t>
      </w:r>
      <w:r>
        <w:rPr>
          <w:rFonts w:ascii="Times New Roman" w:hAnsi="Times New Roman" w:cs="Times New Roman"/>
          <w:color w:val="000000"/>
          <w:sz w:val="20"/>
          <w:szCs w:val="20"/>
        </w:rPr>
        <w:t>“</w:t>
      </w:r>
      <w:r>
        <w:rPr>
          <w:rFonts w:ascii="Times New Roman" w:hAnsi="Times New Roman" w:cs="Times New Roman"/>
          <w:color w:val="000000"/>
          <w:sz w:val="20"/>
          <w:szCs w:val="20"/>
        </w:rPr>
        <w:t>presumption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that the figure yielded by the mechanical approach is correct, but the Court concluded that this figure may be rebutted by evidence of a substantial change in the debtor's circumstances. </w:t>
      </w:r>
      <w:hyperlink r:id="rId192" w:history="1">
        <w:r>
          <w:rPr>
            <w:rFonts w:ascii="Times New Roman" w:hAnsi="Times New Roman" w:cs="Times New Roman"/>
            <w:i/>
            <w:iCs/>
            <w:color w:val="0000FF"/>
            <w:sz w:val="20"/>
            <w:szCs w:val="20"/>
            <w:u w:val="single"/>
          </w:rPr>
          <w:t>Id.,</w:t>
        </w:r>
      </w:hyperlink>
      <w:hyperlink r:id="rId193" w:history="1">
        <w:r>
          <w:rPr>
            <w:rFonts w:ascii="Times New Roman" w:hAnsi="Times New Roman" w:cs="Times New Roman"/>
            <w:color w:val="0000FF"/>
            <w:sz w:val="20"/>
            <w:szCs w:val="20"/>
            <w:u w:val="single"/>
          </w:rPr>
          <w:t xml:space="preserve"> at 1278-1279.</w:t>
        </w:r>
      </w:hyperlink>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*6</w:t>
      </w:r>
      <w:r>
        <w:rPr>
          <w:rFonts w:ascii="Times New Roman" w:hAnsi="Times New Roman" w:cs="Times New Roman"/>
          <w:color w:val="000000"/>
          <w:sz w:val="20"/>
          <w:szCs w:val="20"/>
        </w:rPr>
        <w:t xml:space="preserve"> This petition followed, and we grante</w:t>
      </w:r>
      <w:r>
        <w:rPr>
          <w:rFonts w:ascii="Times New Roman" w:hAnsi="Times New Roman" w:cs="Times New Roman"/>
          <w:color w:val="000000"/>
          <w:sz w:val="20"/>
          <w:szCs w:val="20"/>
        </w:rPr>
        <w:t xml:space="preserve">d certiorari. </w:t>
      </w:r>
      <w:hyperlink r:id="rId194" w:history="1">
        <w:r>
          <w:rPr>
            <w:rFonts w:ascii="Times New Roman" w:hAnsi="Times New Roman" w:cs="Times New Roman"/>
            <w:color w:val="0000FF"/>
            <w:sz w:val="20"/>
            <w:szCs w:val="20"/>
            <w:u w:val="single"/>
          </w:rPr>
          <w:t>558 U.S. ----, 130 S.Ct. 487, ---- L.Ed.2d ---- (2009)</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III</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A</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F52022242875" w:history="1">
        <w:r>
          <w:rPr>
            <w:rFonts w:ascii="Times New Roman" w:hAnsi="Times New Roman" w:cs="Times New Roman"/>
            <w:color w:val="0000FF"/>
            <w:sz w:val="20"/>
            <w:szCs w:val="20"/>
            <w:u w:val="single"/>
          </w:rPr>
          <w:t>[5]</w:t>
        </w:r>
      </w:hyperlink>
      <w:bookmarkStart w:id="35" w:name="Document1zzB52022242875"/>
      <w:bookmarkEnd w:id="35"/>
      <w:r>
        <w:rPr>
          <w:rFonts w:ascii="Times New Roman" w:hAnsi="Times New Roman" w:cs="Times New Roman"/>
          <w:color w:val="000000"/>
          <w:sz w:val="20"/>
          <w:szCs w:val="20"/>
        </w:rPr>
        <w:t xml:space="preserve"> The parties differ sharply in their interpretation of </w:t>
      </w:r>
      <w:hyperlink r:id="rId195" w:history="1">
        <w:r>
          <w:rPr>
            <w:rFonts w:ascii="Times New Roman" w:hAnsi="Times New Roman" w:cs="Times New Roman"/>
            <w:color w:val="0000FF"/>
            <w:sz w:val="20"/>
            <w:szCs w:val="20"/>
            <w:u w:val="single"/>
          </w:rPr>
          <w:t>§ 1325</w:t>
        </w:r>
      </w:hyperlink>
      <w:r>
        <w:rPr>
          <w:rFonts w:ascii="Times New Roman" w:hAnsi="Times New Roman" w:cs="Times New Roman"/>
          <w:color w:val="000000"/>
          <w:sz w:val="20"/>
          <w:szCs w:val="20"/>
        </w:rPr>
        <w:t xml:space="preserve">'s reference to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Petitioner, a</w:t>
      </w:r>
      <w:r>
        <w:rPr>
          <w:rFonts w:ascii="Times New Roman" w:hAnsi="Times New Roman" w:cs="Times New Roman"/>
          <w:color w:val="000000"/>
          <w:sz w:val="20"/>
          <w:szCs w:val="20"/>
        </w:rPr>
        <w:t>dvocating the mechanical approach, co</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tends that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means past average monthly disposable income multiplied by the number of months in a debtor's plan. Respondent, who favors the forward-looking approach, agrees that the method o</w:t>
      </w:r>
      <w:r>
        <w:rPr>
          <w:rFonts w:ascii="Times New Roman" w:hAnsi="Times New Roman" w:cs="Times New Roman"/>
          <w:color w:val="000000"/>
          <w:sz w:val="20"/>
          <w:szCs w:val="20"/>
        </w:rPr>
        <w:t>utlined by petitioner should be determinative in most cases, but she argues that in exceptional cases, where significant changes in a debtor's financial ci</w:t>
      </w:r>
      <w:r>
        <w:rPr>
          <w:rFonts w:ascii="Times New Roman" w:hAnsi="Times New Roman" w:cs="Times New Roman"/>
          <w:color w:val="000000"/>
          <w:sz w:val="20"/>
          <w:szCs w:val="20"/>
        </w:rPr>
        <w:t>r</w:t>
      </w:r>
      <w:r>
        <w:rPr>
          <w:rFonts w:ascii="Times New Roman" w:hAnsi="Times New Roman" w:cs="Times New Roman"/>
          <w:color w:val="000000"/>
          <w:sz w:val="20"/>
          <w:szCs w:val="20"/>
        </w:rPr>
        <w:t>cumstances are known or virtually certain, a ban</w:t>
      </w:r>
      <w:r>
        <w:rPr>
          <w:rFonts w:ascii="Times New Roman" w:hAnsi="Times New Roman" w:cs="Times New Roman"/>
          <w:color w:val="000000"/>
          <w:sz w:val="20"/>
          <w:szCs w:val="20"/>
        </w:rPr>
        <w:t>k</w:t>
      </w:r>
      <w:r>
        <w:rPr>
          <w:rFonts w:ascii="Times New Roman" w:hAnsi="Times New Roman" w:cs="Times New Roman"/>
          <w:color w:val="000000"/>
          <w:sz w:val="20"/>
          <w:szCs w:val="20"/>
        </w:rPr>
        <w:t xml:space="preserve">ruptcy court has discretion to make an appropriate </w:t>
      </w:r>
      <w:r>
        <w:rPr>
          <w:rFonts w:ascii="Times New Roman" w:hAnsi="Times New Roman" w:cs="Times New Roman"/>
          <w:color w:val="000000"/>
          <w:sz w:val="20"/>
          <w:szCs w:val="20"/>
        </w:rPr>
        <w:t>adjustment. Respondent has the stronger argument.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F62022242875" w:history="1">
        <w:r>
          <w:rPr>
            <w:rFonts w:ascii="Times New Roman" w:hAnsi="Times New Roman" w:cs="Times New Roman"/>
            <w:color w:val="0000FF"/>
            <w:sz w:val="20"/>
            <w:szCs w:val="20"/>
            <w:u w:val="single"/>
          </w:rPr>
          <w:t>[6]</w:t>
        </w:r>
      </w:hyperlink>
      <w:bookmarkStart w:id="36" w:name="Document1zzB62022242875"/>
      <w:bookmarkEnd w:id="36"/>
      <w:r>
        <w:rPr>
          <w:rFonts w:ascii="Times New Roman" w:hAnsi="Times New Roman" w:cs="Times New Roman"/>
          <w:color w:val="000000"/>
          <w:sz w:val="20"/>
          <w:szCs w:val="20"/>
        </w:rPr>
        <w:t xml:space="preserve"> First, respondent's argument is supported by the ordinary meaning of the term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When terms used in a s</w:t>
      </w:r>
      <w:r>
        <w:rPr>
          <w:rFonts w:ascii="Times New Roman" w:hAnsi="Times New Roman" w:cs="Times New Roman"/>
          <w:color w:val="000000"/>
          <w:sz w:val="20"/>
          <w:szCs w:val="20"/>
        </w:rPr>
        <w:t>tatute are undefined, we give them their ordinary meaning.</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196" w:history="1">
        <w:r>
          <w:rPr>
            <w:rFonts w:ascii="Times New Roman" w:hAnsi="Times New Roman" w:cs="Times New Roman"/>
            <w:i/>
            <w:iCs/>
            <w:color w:val="0000FF"/>
            <w:sz w:val="20"/>
            <w:szCs w:val="20"/>
            <w:u w:val="single"/>
          </w:rPr>
          <w:t>Asgrow Seed Co. v. Wi</w:t>
        </w:r>
        <w:r>
          <w:rPr>
            <w:rFonts w:ascii="Times New Roman" w:hAnsi="Times New Roman" w:cs="Times New Roman"/>
            <w:i/>
            <w:iCs/>
            <w:color w:val="0000FF"/>
            <w:sz w:val="20"/>
            <w:szCs w:val="20"/>
            <w:u w:val="single"/>
          </w:rPr>
          <w:t>n</w:t>
        </w:r>
        <w:r>
          <w:rPr>
            <w:rFonts w:ascii="Times New Roman" w:hAnsi="Times New Roman" w:cs="Times New Roman"/>
            <w:i/>
            <w:iCs/>
            <w:color w:val="0000FF"/>
            <w:sz w:val="20"/>
            <w:szCs w:val="20"/>
            <w:u w:val="single"/>
          </w:rPr>
          <w:t>terboer,</w:t>
        </w:r>
      </w:hyperlink>
      <w:hyperlink r:id="rId197" w:history="1">
        <w:r>
          <w:rPr>
            <w:rFonts w:ascii="Times New Roman" w:hAnsi="Times New Roman" w:cs="Times New Roman"/>
            <w:color w:val="0000FF"/>
            <w:sz w:val="20"/>
            <w:szCs w:val="20"/>
            <w:u w:val="single"/>
          </w:rPr>
          <w:t xml:space="preserve"> 513 U.S. 179, 187, 115 S.Ct. 788, 130 </w:t>
        </w:r>
        <w:r>
          <w:rPr>
            <w:rFonts w:ascii="Times New Roman" w:hAnsi="Times New Roman" w:cs="Times New Roman"/>
            <w:color w:val="0000FF"/>
            <w:sz w:val="20"/>
            <w:szCs w:val="20"/>
            <w:u w:val="single"/>
          </w:rPr>
          <w:lastRenderedPageBreak/>
          <w:t>L.Ed.2d 682 (1995)</w:t>
        </w:r>
      </w:hyperlink>
      <w:r>
        <w:rPr>
          <w:rFonts w:ascii="Times New Roman" w:hAnsi="Times New Roman" w:cs="Times New Roman"/>
          <w:color w:val="000000"/>
          <w:sz w:val="20"/>
          <w:szCs w:val="20"/>
        </w:rPr>
        <w:t xml:space="preserve">. Here, the term </w:t>
      </w:r>
      <w:r>
        <w:rPr>
          <w:rFonts w:ascii="Times New Roman" w:hAnsi="Times New Roman" w:cs="Times New Roman"/>
          <w:color w:val="000000"/>
          <w:sz w:val="20"/>
          <w:szCs w:val="20"/>
        </w:rPr>
        <w:t>“</w:t>
      </w:r>
      <w:r>
        <w:rPr>
          <w:rFonts w:ascii="Times New Roman" w:hAnsi="Times New Roman" w:cs="Times New Roman"/>
          <w:color w:val="000000"/>
          <w:sz w:val="20"/>
          <w:szCs w:val="20"/>
        </w:rPr>
        <w:t>pr</w:t>
      </w:r>
      <w:r>
        <w:rPr>
          <w:rFonts w:ascii="Times New Roman" w:hAnsi="Times New Roman" w:cs="Times New Roman"/>
          <w:color w:val="000000"/>
          <w:sz w:val="20"/>
          <w:szCs w:val="20"/>
        </w:rPr>
        <w:t>o</w:t>
      </w:r>
      <w:r>
        <w:rPr>
          <w:rFonts w:ascii="Times New Roman" w:hAnsi="Times New Roman" w:cs="Times New Roman"/>
          <w:color w:val="000000"/>
          <w:sz w:val="20"/>
          <w:szCs w:val="20"/>
        </w:rPr>
        <w:t>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is not defined, and in ordinary usage future occurrences are not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based on the assumption that the past wil</w:t>
      </w:r>
      <w:r>
        <w:rPr>
          <w:rFonts w:ascii="Times New Roman" w:hAnsi="Times New Roman" w:cs="Times New Roman"/>
          <w:color w:val="000000"/>
          <w:sz w:val="20"/>
          <w:szCs w:val="20"/>
        </w:rPr>
        <w:t xml:space="preserve">l necessarily repeat itself. For example, projections concerning a company's future sales or the future cash flow from a license take into account anticipated events that may change past trends. See, </w:t>
      </w:r>
      <w:r>
        <w:rPr>
          <w:rFonts w:ascii="Times New Roman" w:hAnsi="Times New Roman" w:cs="Times New Roman"/>
          <w:i/>
          <w:iCs/>
          <w:color w:val="000000"/>
          <w:sz w:val="20"/>
          <w:szCs w:val="20"/>
        </w:rPr>
        <w:t>e.g.,</w:t>
      </w:r>
      <w:r>
        <w:rPr>
          <w:rFonts w:ascii="Times New Roman" w:hAnsi="Times New Roman" w:cs="Times New Roman"/>
          <w:color w:val="000000"/>
          <w:sz w:val="20"/>
          <w:szCs w:val="20"/>
        </w:rPr>
        <w:t xml:space="preserve"> </w:t>
      </w:r>
      <w:hyperlink r:id="rId198" w:history="1">
        <w:r>
          <w:rPr>
            <w:rFonts w:ascii="Times New Roman" w:hAnsi="Times New Roman" w:cs="Times New Roman"/>
            <w:i/>
            <w:iCs/>
            <w:color w:val="0000FF"/>
            <w:sz w:val="20"/>
            <w:szCs w:val="20"/>
            <w:u w:val="single"/>
          </w:rPr>
          <w:t>Tellabs, Inc. v. Makor Issues &amp; Rights, Ltd.,</w:t>
        </w:r>
      </w:hyperlink>
      <w:hyperlink r:id="rId199" w:history="1">
        <w:r>
          <w:rPr>
            <w:rFonts w:ascii="Times New Roman" w:hAnsi="Times New Roman" w:cs="Times New Roman"/>
            <w:color w:val="0000FF"/>
            <w:sz w:val="20"/>
            <w:szCs w:val="20"/>
            <w:u w:val="single"/>
          </w:rPr>
          <w:t xml:space="preserve"> 551 U.S. 308, 316, 127 S.Ct. 2499, 168 L.Ed.2</w:t>
        </w:r>
        <w:r>
          <w:rPr>
            <w:rFonts w:ascii="Times New Roman" w:hAnsi="Times New Roman" w:cs="Times New Roman"/>
            <w:color w:val="0000FF"/>
            <w:sz w:val="20"/>
            <w:szCs w:val="20"/>
            <w:u w:val="single"/>
          </w:rPr>
          <w:t>d 179 (2007)</w:t>
        </w:r>
      </w:hyperlink>
      <w:r>
        <w:rPr>
          <w:rFonts w:ascii="Times New Roman" w:hAnsi="Times New Roman" w:cs="Times New Roman"/>
          <w:color w:val="000000"/>
          <w:sz w:val="20"/>
          <w:szCs w:val="20"/>
        </w:rPr>
        <w:t xml:space="preserve"> (d</w:t>
      </w:r>
      <w:r>
        <w:rPr>
          <w:rFonts w:ascii="Times New Roman" w:hAnsi="Times New Roman" w:cs="Times New Roman"/>
          <w:color w:val="000000"/>
          <w:sz w:val="20"/>
          <w:szCs w:val="20"/>
        </w:rPr>
        <w:t>e</w:t>
      </w:r>
      <w:r>
        <w:rPr>
          <w:rFonts w:ascii="Times New Roman" w:hAnsi="Times New Roman" w:cs="Times New Roman"/>
          <w:color w:val="000000"/>
          <w:sz w:val="20"/>
          <w:szCs w:val="20"/>
        </w:rPr>
        <w:t xml:space="preserve">scribing adjustments to </w:t>
      </w:r>
      <w:r>
        <w:rPr>
          <w:rFonts w:ascii="Times New Roman" w:hAnsi="Times New Roman" w:cs="Times New Roman"/>
          <w:color w:val="000000"/>
          <w:sz w:val="20"/>
          <w:szCs w:val="20"/>
        </w:rPr>
        <w:t>“</w:t>
      </w:r>
      <w:r>
        <w:rPr>
          <w:rFonts w:ascii="Times New Roman" w:hAnsi="Times New Roman" w:cs="Times New Roman"/>
          <w:color w:val="000000"/>
          <w:sz w:val="20"/>
          <w:szCs w:val="20"/>
        </w:rPr>
        <w:t>projected sales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light of falling demand); </w:t>
      </w:r>
      <w:hyperlink r:id="rId200" w:history="1">
        <w:r>
          <w:rPr>
            <w:rFonts w:ascii="Times New Roman" w:hAnsi="Times New Roman" w:cs="Times New Roman"/>
            <w:i/>
            <w:iCs/>
            <w:color w:val="0000FF"/>
            <w:sz w:val="20"/>
            <w:szCs w:val="20"/>
            <w:u w:val="single"/>
          </w:rPr>
          <w:t>Innovair Aviat</w:t>
        </w:r>
        <w:r>
          <w:rPr>
            <w:rFonts w:ascii="Times New Roman" w:hAnsi="Times New Roman" w:cs="Times New Roman"/>
            <w:i/>
            <w:iCs/>
            <w:color w:val="0000FF"/>
            <w:sz w:val="20"/>
            <w:szCs w:val="20"/>
            <w:u w:val="single"/>
          </w:rPr>
          <w:t>ion, Ltd. v. United States,</w:t>
        </w:r>
      </w:hyperlink>
      <w:hyperlink r:id="rId201" w:history="1">
        <w:r>
          <w:rPr>
            <w:rFonts w:ascii="Times New Roman" w:hAnsi="Times New Roman" w:cs="Times New Roman"/>
            <w:color w:val="0000FF"/>
            <w:sz w:val="20"/>
            <w:szCs w:val="20"/>
            <w:u w:val="single"/>
          </w:rPr>
          <w:t xml:space="preserve"> 83 Fed.Cl. 498, 502, 504-506 (2008)</w:t>
        </w:r>
      </w:hyperlink>
      <w:r>
        <w:rPr>
          <w:rFonts w:ascii="Times New Roman" w:hAnsi="Times New Roman" w:cs="Times New Roman"/>
          <w:color w:val="000000"/>
          <w:sz w:val="20"/>
          <w:szCs w:val="20"/>
        </w:rPr>
        <w:t xml:space="preserve"> (calculating pr</w:t>
      </w:r>
      <w:r>
        <w:rPr>
          <w:rFonts w:ascii="Times New Roman" w:hAnsi="Times New Roman" w:cs="Times New Roman"/>
          <w:color w:val="000000"/>
          <w:sz w:val="20"/>
          <w:szCs w:val="20"/>
        </w:rPr>
        <w:t>o</w:t>
      </w:r>
      <w:r>
        <w:rPr>
          <w:rFonts w:ascii="Times New Roman" w:hAnsi="Times New Roman" w:cs="Times New Roman"/>
          <w:color w:val="000000"/>
          <w:sz w:val="20"/>
          <w:szCs w:val="20"/>
        </w:rPr>
        <w:t>jected cash flow a</w:t>
      </w:r>
      <w:r>
        <w:rPr>
          <w:rFonts w:ascii="Times New Roman" w:hAnsi="Times New Roman" w:cs="Times New Roman"/>
          <w:color w:val="000000"/>
          <w:sz w:val="20"/>
          <w:szCs w:val="20"/>
        </w:rPr>
        <w:t xml:space="preserve">nd noting that past sales are </w:t>
      </w:r>
      <w:r>
        <w:rPr>
          <w:rFonts w:ascii="Times New Roman" w:hAnsi="Times New Roman" w:cs="Times New Roman"/>
          <w:color w:val="000000"/>
          <w:sz w:val="20"/>
          <w:szCs w:val="20"/>
        </w:rPr>
        <w:t>“</w:t>
      </w:r>
      <w:r>
        <w:rPr>
          <w:rFonts w:ascii="Times New Roman" w:hAnsi="Times New Roman" w:cs="Times New Roman"/>
          <w:color w:val="000000"/>
          <w:sz w:val="20"/>
          <w:szCs w:val="20"/>
        </w:rPr>
        <w:t>not necessarily the number of sales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that will be made in the future). On the night of an election, experts do not </w:t>
      </w:r>
      <w:r>
        <w:rPr>
          <w:rFonts w:ascii="Times New Roman" w:hAnsi="Times New Roman" w:cs="Times New Roman"/>
          <w:color w:val="000000"/>
          <w:sz w:val="20"/>
          <w:szCs w:val="20"/>
        </w:rPr>
        <w:t>“</w:t>
      </w:r>
      <w:r>
        <w:rPr>
          <w:rFonts w:ascii="Times New Roman" w:hAnsi="Times New Roman" w:cs="Times New Roman"/>
          <w:color w:val="000000"/>
          <w:sz w:val="20"/>
          <w:szCs w:val="20"/>
        </w:rPr>
        <w:t>project</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the percentage of the votes that a candidate will receive by simply assuming that the candidate will</w:t>
      </w:r>
      <w:r>
        <w:rPr>
          <w:rFonts w:ascii="Times New Roman" w:hAnsi="Times New Roman" w:cs="Times New Roman"/>
          <w:color w:val="000000"/>
          <w:sz w:val="20"/>
          <w:szCs w:val="20"/>
        </w:rPr>
        <w:t xml:space="preserve"> get the same percentage as he or she won in the first few reporting precincts. And sports analysts do not project that a team's winning percentage at the end of a new season will be the same as the team's winning percentage last year or the team's winning</w:t>
      </w:r>
      <w:r>
        <w:rPr>
          <w:rFonts w:ascii="Times New Roman" w:hAnsi="Times New Roman" w:cs="Times New Roman"/>
          <w:color w:val="000000"/>
          <w:sz w:val="20"/>
          <w:szCs w:val="20"/>
        </w:rPr>
        <w:t xml:space="preserve"> percentage at the end of the first month of comp</w:t>
      </w:r>
      <w:r>
        <w:rPr>
          <w:rFonts w:ascii="Times New Roman" w:hAnsi="Times New Roman" w:cs="Times New Roman"/>
          <w:color w:val="000000"/>
          <w:sz w:val="20"/>
          <w:szCs w:val="20"/>
        </w:rPr>
        <w:t>e</w:t>
      </w:r>
      <w:r>
        <w:rPr>
          <w:rFonts w:ascii="Times New Roman" w:hAnsi="Times New Roman" w:cs="Times New Roman"/>
          <w:color w:val="000000"/>
          <w:sz w:val="20"/>
          <w:szCs w:val="20"/>
        </w:rPr>
        <w:t xml:space="preserve">tition. While a projection takes past events into account, adjustments are often made based on other factors that may affect the final outcome. See </w:t>
      </w:r>
      <w:hyperlink r:id="rId202" w:history="1">
        <w:r>
          <w:rPr>
            <w:rFonts w:ascii="Times New Roman" w:hAnsi="Times New Roman" w:cs="Times New Roman"/>
            <w:i/>
            <w:iCs/>
            <w:color w:val="0000FF"/>
            <w:sz w:val="20"/>
            <w:szCs w:val="20"/>
            <w:u w:val="single"/>
          </w:rPr>
          <w:t>In re Kibbe,</w:t>
        </w:r>
      </w:hyperlink>
      <w:hyperlink r:id="rId203" w:history="1">
        <w:r>
          <w:rPr>
            <w:rFonts w:ascii="Times New Roman" w:hAnsi="Times New Roman" w:cs="Times New Roman"/>
            <w:color w:val="0000FF"/>
            <w:sz w:val="20"/>
            <w:szCs w:val="20"/>
            <w:u w:val="single"/>
          </w:rPr>
          <w:t xml:space="preserve"> 361 B.R. 302, 312, n. 9 (1st Cir. BAP 2007)</w:t>
        </w:r>
      </w:hyperlink>
      <w:r>
        <w:rPr>
          <w:rFonts w:ascii="Times New Roman" w:hAnsi="Times New Roman" w:cs="Times New Roman"/>
          <w:color w:val="000000"/>
          <w:sz w:val="20"/>
          <w:szCs w:val="20"/>
        </w:rPr>
        <w:t xml:space="preserve"> (contrasting </w:t>
      </w:r>
      <w:r>
        <w:rPr>
          <w:rFonts w:ascii="Times New Roman" w:hAnsi="Times New Roman" w:cs="Times New Roman"/>
          <w:color w:val="000000"/>
          <w:sz w:val="20"/>
          <w:szCs w:val="20"/>
        </w:rPr>
        <w:t>“</w:t>
      </w:r>
      <w:r>
        <w:rPr>
          <w:rFonts w:ascii="Times New Roman" w:hAnsi="Times New Roman" w:cs="Times New Roman"/>
          <w:color w:val="000000"/>
          <w:sz w:val="20"/>
          <w:szCs w:val="20"/>
        </w:rPr>
        <w:t>multiplied,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which </w:t>
      </w:r>
      <w:r>
        <w:rPr>
          <w:rFonts w:ascii="Times New Roman" w:hAnsi="Times New Roman" w:cs="Times New Roman"/>
          <w:color w:val="000000"/>
          <w:sz w:val="20"/>
          <w:szCs w:val="20"/>
        </w:rPr>
        <w:t>“</w:t>
      </w:r>
      <w:r>
        <w:rPr>
          <w:rFonts w:ascii="Times New Roman" w:hAnsi="Times New Roman" w:cs="Times New Roman"/>
          <w:color w:val="000000"/>
          <w:sz w:val="20"/>
          <w:szCs w:val="20"/>
        </w:rPr>
        <w:t>requires only mathematical acumen,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with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which requires </w:t>
      </w:r>
      <w:r>
        <w:rPr>
          <w:rFonts w:ascii="Times New Roman" w:hAnsi="Times New Roman" w:cs="Times New Roman"/>
          <w:color w:val="000000"/>
          <w:sz w:val="20"/>
          <w:szCs w:val="20"/>
        </w:rPr>
        <w:t>“</w:t>
      </w:r>
      <w:r>
        <w:rPr>
          <w:rFonts w:ascii="Times New Roman" w:hAnsi="Times New Roman" w:cs="Times New Roman"/>
          <w:color w:val="000000"/>
          <w:sz w:val="20"/>
          <w:szCs w:val="20"/>
        </w:rPr>
        <w:t>mathematic acumen adjusted by deliberation and discretion</w:t>
      </w:r>
      <w:r>
        <w:rPr>
          <w:rFonts w:ascii="Times New Roman" w:hAnsi="Times New Roman" w:cs="Times New Roman"/>
          <w:color w:val="000000"/>
          <w:sz w:val="20"/>
          <w:szCs w:val="20"/>
        </w:rPr>
        <w:t>”</w:t>
      </w:r>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Second, the word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appears </w:t>
      </w:r>
      <w:r>
        <w:rPr>
          <w:rFonts w:ascii="Times New Roman" w:hAnsi="Times New Roman" w:cs="Times New Roman"/>
          <w:color w:val="000000"/>
          <w:sz w:val="20"/>
          <w:szCs w:val="20"/>
        </w:rPr>
        <w:t>in many federal statutes, yet Congress rarely has used it to mean si</w:t>
      </w:r>
      <w:r>
        <w:rPr>
          <w:rFonts w:ascii="Times New Roman" w:hAnsi="Times New Roman" w:cs="Times New Roman"/>
          <w:color w:val="000000"/>
          <w:sz w:val="20"/>
          <w:szCs w:val="20"/>
        </w:rPr>
        <w:t>m</w:t>
      </w:r>
      <w:r>
        <w:rPr>
          <w:rFonts w:ascii="Times New Roman" w:hAnsi="Times New Roman" w:cs="Times New Roman"/>
          <w:color w:val="000000"/>
          <w:sz w:val="20"/>
          <w:szCs w:val="20"/>
        </w:rPr>
        <w:t>ple multiplication. For example, the Agricultural A</w:t>
      </w:r>
      <w:r>
        <w:rPr>
          <w:rFonts w:ascii="Times New Roman" w:hAnsi="Times New Roman" w:cs="Times New Roman"/>
          <w:color w:val="000000"/>
          <w:sz w:val="20"/>
          <w:szCs w:val="20"/>
        </w:rPr>
        <w:t>d</w:t>
      </w:r>
      <w:r>
        <w:rPr>
          <w:rFonts w:ascii="Times New Roman" w:hAnsi="Times New Roman" w:cs="Times New Roman"/>
          <w:color w:val="000000"/>
          <w:sz w:val="20"/>
          <w:szCs w:val="20"/>
        </w:rPr>
        <w:t xml:space="preserve">justment Act of 1938 defined </w:t>
      </w:r>
      <w:r>
        <w:rPr>
          <w:rFonts w:ascii="Times New Roman" w:hAnsi="Times New Roman" w:cs="Times New Roman"/>
          <w:color w:val="000000"/>
          <w:sz w:val="20"/>
          <w:szCs w:val="20"/>
        </w:rPr>
        <w:t>“</w:t>
      </w:r>
      <w:r>
        <w:rPr>
          <w:rFonts w:ascii="Times New Roman" w:hAnsi="Times New Roman" w:cs="Times New Roman"/>
          <w:color w:val="000000"/>
          <w:sz w:val="20"/>
          <w:szCs w:val="20"/>
        </w:rPr>
        <w:t>projected national yield,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projected county yield,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and </w:t>
      </w:r>
      <w:r>
        <w:rPr>
          <w:rFonts w:ascii="Times New Roman" w:hAnsi="Times New Roman" w:cs="Times New Roman"/>
          <w:color w:val="000000"/>
          <w:sz w:val="20"/>
          <w:szCs w:val="20"/>
        </w:rPr>
        <w:t>“</w:t>
      </w:r>
      <w:r>
        <w:rPr>
          <w:rFonts w:ascii="Times New Roman" w:hAnsi="Times New Roman" w:cs="Times New Roman"/>
          <w:color w:val="000000"/>
          <w:sz w:val="20"/>
          <w:szCs w:val="20"/>
        </w:rPr>
        <w:t>projected farm yield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as entailing histor</w:t>
      </w:r>
      <w:r>
        <w:rPr>
          <w:rFonts w:ascii="Times New Roman" w:hAnsi="Times New Roman" w:cs="Times New Roman"/>
          <w:color w:val="000000"/>
          <w:sz w:val="20"/>
          <w:szCs w:val="20"/>
        </w:rPr>
        <w:t>i</w:t>
      </w:r>
      <w:r>
        <w:rPr>
          <w:rFonts w:ascii="Times New Roman" w:hAnsi="Times New Roman" w:cs="Times New Roman"/>
          <w:color w:val="000000"/>
          <w:sz w:val="20"/>
          <w:szCs w:val="20"/>
        </w:rPr>
        <w:t>cal a</w:t>
      </w:r>
      <w:r>
        <w:rPr>
          <w:rFonts w:ascii="Times New Roman" w:hAnsi="Times New Roman" w:cs="Times New Roman"/>
          <w:color w:val="000000"/>
          <w:sz w:val="20"/>
          <w:szCs w:val="20"/>
        </w:rPr>
        <w:t xml:space="preserve">verages </w:t>
      </w:r>
      <w:r>
        <w:rPr>
          <w:rFonts w:ascii="Times New Roman" w:hAnsi="Times New Roman" w:cs="Times New Roman"/>
          <w:color w:val="000000"/>
          <w:sz w:val="20"/>
          <w:szCs w:val="20"/>
        </w:rPr>
        <w:t>“</w:t>
      </w:r>
      <w:r>
        <w:rPr>
          <w:rFonts w:ascii="Times New Roman" w:hAnsi="Times New Roman" w:cs="Times New Roman"/>
          <w:color w:val="000000"/>
          <w:sz w:val="20"/>
          <w:szCs w:val="20"/>
        </w:rPr>
        <w:t>adjusted for abnormal weather conditions,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trends in yields,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and </w:t>
      </w:r>
      <w:r>
        <w:rPr>
          <w:rFonts w:ascii="Times New Roman" w:hAnsi="Times New Roman" w:cs="Times New Roman"/>
          <w:color w:val="000000"/>
          <w:sz w:val="20"/>
          <w:szCs w:val="20"/>
        </w:rPr>
        <w:t>“</w:t>
      </w:r>
      <w:r>
        <w:rPr>
          <w:rFonts w:ascii="Times New Roman" w:hAnsi="Times New Roman" w:cs="Times New Roman"/>
          <w:color w:val="000000"/>
          <w:sz w:val="20"/>
          <w:szCs w:val="20"/>
        </w:rPr>
        <w:t>any significant changes in production practices.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204" w:history="1">
        <w:r>
          <w:rPr>
            <w:rFonts w:ascii="Times New Roman" w:hAnsi="Times New Roman" w:cs="Times New Roman"/>
            <w:color w:val="0000FF"/>
            <w:sz w:val="20"/>
            <w:szCs w:val="20"/>
            <w:u w:val="single"/>
          </w:rPr>
          <w:t>7 U.S.C. § 1301(b)(8)(B)</w:t>
        </w:r>
      </w:hyperlink>
      <w:r>
        <w:rPr>
          <w:rFonts w:ascii="Times New Roman" w:hAnsi="Times New Roman" w:cs="Times New Roman"/>
          <w:color w:val="000000"/>
          <w:sz w:val="20"/>
          <w:szCs w:val="20"/>
        </w:rPr>
        <w:t xml:space="preserve">, (13)(J), (K). </w:t>
      </w:r>
      <w:hyperlink w:anchor="Document1zzB00432022242875" w:history="1">
        <w:r>
          <w:rPr>
            <w:rFonts w:ascii="Times New Roman" w:hAnsi="Times New Roman" w:cs="Times New Roman"/>
            <w:color w:val="0000FF"/>
            <w:sz w:val="20"/>
            <w:szCs w:val="20"/>
            <w:u w:val="single"/>
            <w:vertAlign w:val="superscript"/>
          </w:rPr>
          <w:t>FN3</w:t>
        </w:r>
      </w:hyperlink>
      <w:bookmarkStart w:id="37" w:name="Document1zzF00432022242875"/>
      <w:bookmarkEnd w:id="37"/>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ind w:left="720"/>
        <w:jc w:val="both"/>
        <w:rPr>
          <w:rFonts w:ascii="Times New Roman" w:hAnsi="Times New Roman" w:cs="Times New Roman"/>
          <w:color w:val="000000"/>
          <w:sz w:val="24"/>
          <w:szCs w:val="24"/>
        </w:rPr>
      </w:pPr>
      <w:hyperlink w:anchor="Document1zzF00432022242875" w:history="1">
        <w:r>
          <w:rPr>
            <w:rFonts w:ascii="Times New Roman" w:hAnsi="Times New Roman" w:cs="Times New Roman"/>
            <w:color w:val="0000FF"/>
            <w:sz w:val="20"/>
            <w:szCs w:val="20"/>
            <w:u w:val="single"/>
          </w:rPr>
          <w:t>FN3.</w:t>
        </w:r>
      </w:hyperlink>
      <w:bookmarkStart w:id="38" w:name="Document1zzB00432022242875"/>
      <w:bookmarkEnd w:id="38"/>
      <w:r>
        <w:rPr>
          <w:rFonts w:ascii="Times New Roman" w:hAnsi="Times New Roman" w:cs="Times New Roman"/>
          <w:color w:val="000000"/>
          <w:sz w:val="20"/>
          <w:szCs w:val="20"/>
        </w:rPr>
        <w:t xml:space="preserve"> See also, </w:t>
      </w:r>
      <w:r>
        <w:rPr>
          <w:rFonts w:ascii="Times New Roman" w:hAnsi="Times New Roman" w:cs="Times New Roman"/>
          <w:i/>
          <w:iCs/>
          <w:color w:val="000000"/>
          <w:sz w:val="20"/>
          <w:szCs w:val="20"/>
        </w:rPr>
        <w:t>e.g.,</w:t>
      </w:r>
      <w:r>
        <w:rPr>
          <w:rFonts w:ascii="Times New Roman" w:hAnsi="Times New Roman" w:cs="Times New Roman"/>
          <w:color w:val="000000"/>
          <w:sz w:val="20"/>
          <w:szCs w:val="20"/>
        </w:rPr>
        <w:t xml:space="preserve"> </w:t>
      </w:r>
      <w:hyperlink r:id="rId205" w:history="1">
        <w:r>
          <w:rPr>
            <w:rFonts w:ascii="Times New Roman" w:hAnsi="Times New Roman" w:cs="Times New Roman"/>
            <w:color w:val="0000FF"/>
            <w:sz w:val="20"/>
            <w:szCs w:val="20"/>
            <w:u w:val="single"/>
          </w:rPr>
          <w:t>8 U.S.C. § 1364(a)</w:t>
        </w:r>
      </w:hyperlink>
      <w:r>
        <w:rPr>
          <w:rFonts w:ascii="Times New Roman" w:hAnsi="Times New Roman" w:cs="Times New Roman"/>
          <w:color w:val="000000"/>
          <w:sz w:val="20"/>
          <w:szCs w:val="20"/>
        </w:rPr>
        <w:t xml:space="preserve">, </w:t>
      </w:r>
      <w:hyperlink r:id="rId206" w:history="1">
        <w:r>
          <w:rPr>
            <w:rFonts w:ascii="Times New Roman" w:hAnsi="Times New Roman" w:cs="Times New Roman"/>
            <w:color w:val="0000FF"/>
            <w:sz w:val="20"/>
            <w:szCs w:val="20"/>
            <w:u w:val="single"/>
          </w:rPr>
          <w:t>(c)(2)</w:t>
        </w:r>
      </w:hyperlink>
      <w:r>
        <w:rPr>
          <w:rFonts w:ascii="Times New Roman" w:hAnsi="Times New Roman" w:cs="Times New Roman"/>
          <w:color w:val="000000"/>
          <w:sz w:val="20"/>
          <w:szCs w:val="20"/>
        </w:rPr>
        <w:t xml:space="preserve"> (requiring the triennial immigration-impact report to include information </w:t>
      </w:r>
      <w:r>
        <w:rPr>
          <w:rFonts w:ascii="Times New Roman" w:hAnsi="Times New Roman" w:cs="Times New Roman"/>
          <w:color w:val="000000"/>
          <w:sz w:val="20"/>
          <w:szCs w:val="20"/>
        </w:rPr>
        <w:t>“</w:t>
      </w:r>
      <w:r>
        <w:rPr>
          <w:rFonts w:ascii="Times New Roman" w:hAnsi="Times New Roman" w:cs="Times New Roman"/>
          <w:color w:val="000000"/>
          <w:sz w:val="20"/>
          <w:szCs w:val="20"/>
        </w:rPr>
        <w:t>projected for the succeedin</w:t>
      </w:r>
      <w:r>
        <w:rPr>
          <w:rFonts w:ascii="Times New Roman" w:hAnsi="Times New Roman" w:cs="Times New Roman"/>
          <w:color w:val="000000"/>
          <w:sz w:val="20"/>
          <w:szCs w:val="20"/>
        </w:rPr>
        <w:t>g five-year period, based on reasonable estimates substantiated by the best available evidence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207" w:history="1">
        <w:r>
          <w:rPr>
            <w:rFonts w:ascii="Times New Roman" w:hAnsi="Times New Roman" w:cs="Times New Roman"/>
            <w:color w:val="0000FF"/>
            <w:sz w:val="20"/>
            <w:szCs w:val="20"/>
            <w:u w:val="single"/>
          </w:rPr>
          <w:t>10 U.S.C.A. § 2433a(a)(2)(B)</w:t>
        </w:r>
      </w:hyperlink>
      <w:r>
        <w:rPr>
          <w:rFonts w:ascii="Times New Roman" w:hAnsi="Times New Roman" w:cs="Times New Roman"/>
          <w:color w:val="000000"/>
          <w:sz w:val="20"/>
          <w:szCs w:val="20"/>
        </w:rPr>
        <w:t xml:space="preserve"> (2010 Cum.Supp.) (</w:t>
      </w:r>
      <w:r>
        <w:rPr>
          <w:rFonts w:ascii="Times New Roman" w:hAnsi="Times New Roman" w:cs="Times New Roman"/>
          <w:color w:val="000000"/>
          <w:sz w:val="20"/>
          <w:szCs w:val="20"/>
        </w:rPr>
        <w:t>“</w:t>
      </w:r>
      <w:r>
        <w:rPr>
          <w:rFonts w:ascii="Times New Roman" w:hAnsi="Times New Roman" w:cs="Times New Roman"/>
          <w:color w:val="000000"/>
          <w:sz w:val="20"/>
          <w:szCs w:val="20"/>
        </w:rPr>
        <w:t>pr</w:t>
      </w:r>
      <w:r>
        <w:rPr>
          <w:rFonts w:ascii="Times New Roman" w:hAnsi="Times New Roman" w:cs="Times New Roman"/>
          <w:color w:val="000000"/>
          <w:sz w:val="20"/>
          <w:szCs w:val="20"/>
        </w:rPr>
        <w:t>o</w:t>
      </w:r>
      <w:r>
        <w:rPr>
          <w:rFonts w:ascii="Times New Roman" w:hAnsi="Times New Roman" w:cs="Times New Roman"/>
          <w:color w:val="000000"/>
          <w:sz w:val="20"/>
          <w:szCs w:val="20"/>
        </w:rPr>
        <w:t>jected cost of completing the [defense a</w:t>
      </w:r>
      <w:r>
        <w:rPr>
          <w:rFonts w:ascii="Times New Roman" w:hAnsi="Times New Roman" w:cs="Times New Roman"/>
          <w:color w:val="000000"/>
          <w:sz w:val="20"/>
          <w:szCs w:val="20"/>
        </w:rPr>
        <w:t>c</w:t>
      </w:r>
      <w:r>
        <w:rPr>
          <w:rFonts w:ascii="Times New Roman" w:hAnsi="Times New Roman" w:cs="Times New Roman"/>
          <w:color w:val="000000"/>
          <w:sz w:val="20"/>
          <w:szCs w:val="20"/>
        </w:rPr>
        <w:t>quisition] program based on reasonable modification of [current] requirements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208" w:history="1">
        <w:r>
          <w:rPr>
            <w:rFonts w:ascii="Times New Roman" w:hAnsi="Times New Roman" w:cs="Times New Roman"/>
            <w:color w:val="0000FF"/>
            <w:sz w:val="20"/>
            <w:szCs w:val="20"/>
            <w:u w:val="single"/>
          </w:rPr>
          <w:t xml:space="preserve">15 </w:t>
        </w:r>
        <w:r>
          <w:rPr>
            <w:rFonts w:ascii="Times New Roman" w:hAnsi="Times New Roman" w:cs="Times New Roman"/>
            <w:color w:val="0000FF"/>
            <w:sz w:val="20"/>
            <w:szCs w:val="20"/>
            <w:u w:val="single"/>
          </w:rPr>
          <w:lastRenderedPageBreak/>
          <w:t>U.S.C. § 719c(c)(2)</w:t>
        </w:r>
      </w:hyperlink>
      <w:r>
        <w:rPr>
          <w:rFonts w:ascii="Times New Roman" w:hAnsi="Times New Roman" w:cs="Times New Roman"/>
          <w:color w:val="000000"/>
          <w:sz w:val="20"/>
          <w:szCs w:val="20"/>
        </w:rPr>
        <w:t xml:space="preserve"> (2006 ed.) (</w:t>
      </w:r>
      <w:r>
        <w:rPr>
          <w:rFonts w:ascii="Times New Roman" w:hAnsi="Times New Roman" w:cs="Times New Roman"/>
          <w:color w:val="000000"/>
          <w:sz w:val="20"/>
          <w:szCs w:val="20"/>
        </w:rPr>
        <w:t>“</w:t>
      </w:r>
      <w:r>
        <w:rPr>
          <w:rFonts w:ascii="Times New Roman" w:hAnsi="Times New Roman" w:cs="Times New Roman"/>
          <w:color w:val="000000"/>
          <w:sz w:val="20"/>
          <w:szCs w:val="20"/>
        </w:rPr>
        <w:t>projected natural gas supply and demand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209" w:history="1">
        <w:r>
          <w:rPr>
            <w:rFonts w:ascii="Times New Roman" w:hAnsi="Times New Roman" w:cs="Times New Roman"/>
            <w:color w:val="0000FF"/>
            <w:sz w:val="20"/>
            <w:szCs w:val="20"/>
            <w:u w:val="single"/>
          </w:rPr>
          <w:t>25 U.S.C. § 2009(c)</w:t>
        </w:r>
      </w:hyperlink>
      <w:r>
        <w:rPr>
          <w:rFonts w:ascii="Times New Roman" w:hAnsi="Times New Roman" w:cs="Times New Roman"/>
          <w:color w:val="000000"/>
          <w:sz w:val="20"/>
          <w:szCs w:val="20"/>
        </w:rPr>
        <w:t xml:space="preserve">(1), </w:t>
      </w:r>
      <w:hyperlink r:id="rId210" w:history="1">
        <w:r>
          <w:rPr>
            <w:rFonts w:ascii="Times New Roman" w:hAnsi="Times New Roman" w:cs="Times New Roman"/>
            <w:color w:val="0000FF"/>
            <w:sz w:val="20"/>
            <w:szCs w:val="20"/>
            <w:u w:val="single"/>
          </w:rPr>
          <w:t>(2)</w:t>
        </w:r>
      </w:hyperlink>
      <w:r>
        <w:rPr>
          <w:rFonts w:ascii="Times New Roman" w:hAnsi="Times New Roman" w:cs="Times New Roman"/>
          <w:color w:val="000000"/>
          <w:sz w:val="20"/>
          <w:szCs w:val="20"/>
        </w:rPr>
        <w:t xml:space="preserve"> (requiring the Director of the Office of Indian Education Programs to submit an annual report containing certain projections and </w:t>
      </w:r>
      <w:r>
        <w:rPr>
          <w:rFonts w:ascii="Times New Roman" w:hAnsi="Times New Roman" w:cs="Times New Roman"/>
          <w:color w:val="000000"/>
          <w:sz w:val="20"/>
          <w:szCs w:val="20"/>
        </w:rPr>
        <w:t>“</w:t>
      </w:r>
      <w:r>
        <w:rPr>
          <w:rFonts w:ascii="Times New Roman" w:hAnsi="Times New Roman" w:cs="Times New Roman"/>
          <w:color w:val="000000"/>
          <w:sz w:val="20"/>
          <w:szCs w:val="20"/>
        </w:rPr>
        <w:t>a description of the methods and formulas used to calculate the amounts projected</w:t>
      </w:r>
      <w:r>
        <w:rPr>
          <w:rFonts w:ascii="Times New Roman" w:hAnsi="Times New Roman" w:cs="Times New Roman"/>
          <w:color w:val="000000"/>
          <w:sz w:val="20"/>
          <w:szCs w:val="20"/>
        </w:rPr>
        <w:t>”</w:t>
      </w:r>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w:t>
      </w:r>
      <w:r>
        <w:rPr>
          <w:rFonts w:ascii="Times New Roman" w:hAnsi="Times New Roman" w:cs="Times New Roman"/>
          <w:b/>
          <w:bCs/>
          <w:color w:val="000000"/>
          <w:sz w:val="20"/>
          <w:szCs w:val="20"/>
        </w:rPr>
        <w:t>7</w:t>
      </w:r>
      <w:r>
        <w:rPr>
          <w:rFonts w:ascii="Times New Roman" w:hAnsi="Times New Roman" w:cs="Times New Roman"/>
          <w:color w:val="000000"/>
          <w:sz w:val="20"/>
          <w:szCs w:val="20"/>
        </w:rPr>
        <w:t xml:space="preserve"> </w:t>
      </w:r>
      <w:hyperlink w:anchor="Document1zzF72022242875" w:history="1">
        <w:r>
          <w:rPr>
            <w:rFonts w:ascii="Times New Roman" w:hAnsi="Times New Roman" w:cs="Times New Roman"/>
            <w:color w:val="0000FF"/>
            <w:sz w:val="20"/>
            <w:szCs w:val="20"/>
            <w:u w:val="single"/>
          </w:rPr>
          <w:t>[7]</w:t>
        </w:r>
      </w:hyperlink>
      <w:bookmarkStart w:id="39" w:name="Document1zzB72022242875"/>
      <w:bookmarkEnd w:id="39"/>
      <w:r>
        <w:rPr>
          <w:rFonts w:ascii="Times New Roman" w:hAnsi="Times New Roman" w:cs="Times New Roman"/>
          <w:color w:val="000000"/>
          <w:sz w:val="20"/>
          <w:szCs w:val="20"/>
        </w:rPr>
        <w:t xml:space="preserve"> By contrast, we need look no further than the Bankruptcy Code to see that when Congress wishes to mandate simple multiplication, it does so unamb</w:t>
      </w:r>
      <w:r>
        <w:rPr>
          <w:rFonts w:ascii="Times New Roman" w:hAnsi="Times New Roman" w:cs="Times New Roman"/>
          <w:color w:val="000000"/>
          <w:sz w:val="20"/>
          <w:szCs w:val="20"/>
        </w:rPr>
        <w:t>i</w:t>
      </w:r>
      <w:r>
        <w:rPr>
          <w:rFonts w:ascii="Times New Roman" w:hAnsi="Times New Roman" w:cs="Times New Roman"/>
          <w:color w:val="000000"/>
          <w:sz w:val="20"/>
          <w:szCs w:val="20"/>
        </w:rPr>
        <w:t>guously-most comm</w:t>
      </w:r>
      <w:r>
        <w:rPr>
          <w:rFonts w:ascii="Times New Roman" w:hAnsi="Times New Roman" w:cs="Times New Roman"/>
          <w:color w:val="000000"/>
          <w:sz w:val="20"/>
          <w:szCs w:val="20"/>
        </w:rPr>
        <w:t xml:space="preserve">only by using the term </w:t>
      </w:r>
      <w:r>
        <w:rPr>
          <w:rFonts w:ascii="Times New Roman" w:hAnsi="Times New Roman" w:cs="Times New Roman"/>
          <w:color w:val="000000"/>
          <w:sz w:val="20"/>
          <w:szCs w:val="20"/>
        </w:rPr>
        <w:t>“</w:t>
      </w:r>
      <w:r>
        <w:rPr>
          <w:rFonts w:ascii="Times New Roman" w:hAnsi="Times New Roman" w:cs="Times New Roman"/>
          <w:color w:val="000000"/>
          <w:sz w:val="20"/>
          <w:szCs w:val="20"/>
        </w:rPr>
        <w:t>multi</w:t>
      </w:r>
      <w:r>
        <w:rPr>
          <w:rFonts w:ascii="Times New Roman" w:hAnsi="Times New Roman" w:cs="Times New Roman"/>
          <w:color w:val="000000"/>
          <w:sz w:val="20"/>
          <w:szCs w:val="20"/>
        </w:rPr>
        <w:t>p</w:t>
      </w:r>
      <w:r>
        <w:rPr>
          <w:rFonts w:ascii="Times New Roman" w:hAnsi="Times New Roman" w:cs="Times New Roman"/>
          <w:color w:val="000000"/>
          <w:sz w:val="20"/>
          <w:szCs w:val="20"/>
        </w:rPr>
        <w:t>lied.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See, </w:t>
      </w:r>
      <w:r>
        <w:rPr>
          <w:rFonts w:ascii="Times New Roman" w:hAnsi="Times New Roman" w:cs="Times New Roman"/>
          <w:i/>
          <w:iCs/>
          <w:color w:val="000000"/>
          <w:sz w:val="20"/>
          <w:szCs w:val="20"/>
        </w:rPr>
        <w:t>e.g.,</w:t>
      </w:r>
      <w:r>
        <w:rPr>
          <w:rFonts w:ascii="Times New Roman" w:hAnsi="Times New Roman" w:cs="Times New Roman"/>
          <w:color w:val="000000"/>
          <w:sz w:val="20"/>
          <w:szCs w:val="20"/>
        </w:rPr>
        <w:t xml:space="preserve"> </w:t>
      </w:r>
      <w:hyperlink r:id="rId211" w:history="1">
        <w:r>
          <w:rPr>
            <w:rFonts w:ascii="Times New Roman" w:hAnsi="Times New Roman" w:cs="Times New Roman"/>
            <w:color w:val="0000FF"/>
            <w:sz w:val="20"/>
            <w:szCs w:val="20"/>
            <w:u w:val="single"/>
          </w:rPr>
          <w:t>11 U.S.C. § 1325(b)(3)</w:t>
        </w:r>
      </w:hyperlink>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current mont</w:t>
      </w:r>
      <w:r>
        <w:rPr>
          <w:rFonts w:ascii="Times New Roman" w:hAnsi="Times New Roman" w:cs="Times New Roman"/>
          <w:color w:val="000000"/>
          <w:sz w:val="20"/>
          <w:szCs w:val="20"/>
        </w:rPr>
        <w:t>hly income, when multiplied by 12</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212" w:history="1">
        <w:r>
          <w:rPr>
            <w:rFonts w:ascii="Times New Roman" w:hAnsi="Times New Roman" w:cs="Times New Roman"/>
            <w:color w:val="0000FF"/>
            <w:sz w:val="20"/>
            <w:szCs w:val="20"/>
            <w:u w:val="single"/>
          </w:rPr>
          <w:t>§§ 704(b)(2)</w:t>
        </w:r>
      </w:hyperlink>
      <w:r>
        <w:rPr>
          <w:rFonts w:ascii="Times New Roman" w:hAnsi="Times New Roman" w:cs="Times New Roman"/>
          <w:color w:val="000000"/>
          <w:sz w:val="20"/>
          <w:szCs w:val="20"/>
        </w:rPr>
        <w:t xml:space="preserve">, </w:t>
      </w:r>
      <w:hyperlink r:id="rId213" w:history="1">
        <w:r>
          <w:rPr>
            <w:rFonts w:ascii="Times New Roman" w:hAnsi="Times New Roman" w:cs="Times New Roman"/>
            <w:color w:val="0000FF"/>
            <w:sz w:val="20"/>
            <w:szCs w:val="20"/>
            <w:u w:val="single"/>
          </w:rPr>
          <w:t>707(b)(6)</w:t>
        </w:r>
      </w:hyperlink>
      <w:r>
        <w:rPr>
          <w:rFonts w:ascii="Times New Roman" w:hAnsi="Times New Roman" w:cs="Times New Roman"/>
          <w:color w:val="000000"/>
          <w:sz w:val="20"/>
          <w:szCs w:val="20"/>
        </w:rPr>
        <w:t xml:space="preserve">, (7)(A) (same); </w:t>
      </w:r>
      <w:hyperlink r:id="rId214" w:history="1">
        <w:r>
          <w:rPr>
            <w:rFonts w:ascii="Times New Roman" w:hAnsi="Times New Roman" w:cs="Times New Roman"/>
            <w:color w:val="0000FF"/>
            <w:sz w:val="20"/>
            <w:szCs w:val="20"/>
            <w:u w:val="single"/>
          </w:rPr>
          <w:t>§ 707(b)(2)(A)(i)</w:t>
        </w:r>
      </w:hyperlink>
      <w:r>
        <w:rPr>
          <w:rFonts w:ascii="Times New Roman" w:hAnsi="Times New Roman" w:cs="Times New Roman"/>
          <w:color w:val="000000"/>
          <w:sz w:val="20"/>
          <w:szCs w:val="20"/>
        </w:rPr>
        <w:t xml:space="preserve">, (B)(iv) ( </w:t>
      </w:r>
      <w:r>
        <w:rPr>
          <w:rFonts w:ascii="Times New Roman" w:hAnsi="Times New Roman" w:cs="Times New Roman"/>
          <w:color w:val="000000"/>
          <w:sz w:val="20"/>
          <w:szCs w:val="20"/>
        </w:rPr>
        <w:t>“</w:t>
      </w:r>
      <w:r>
        <w:rPr>
          <w:rFonts w:ascii="Times New Roman" w:hAnsi="Times New Roman" w:cs="Times New Roman"/>
          <w:color w:val="000000"/>
          <w:sz w:val="20"/>
          <w:szCs w:val="20"/>
        </w:rPr>
        <w:t>multiplied by 60</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Accord, </w:t>
      </w:r>
      <w:hyperlink r:id="rId215" w:history="1">
        <w:r>
          <w:rPr>
            <w:rFonts w:ascii="Times New Roman" w:hAnsi="Times New Roman" w:cs="Times New Roman"/>
            <w:color w:val="0000FF"/>
            <w:sz w:val="20"/>
            <w:szCs w:val="20"/>
            <w:u w:val="single"/>
          </w:rPr>
          <w:t>2 U.S.C. § 58(b)(1)(B)</w:t>
        </w:r>
      </w:hyperlink>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multiplied by the number of months in such year</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216" w:history="1">
        <w:r>
          <w:rPr>
            <w:rFonts w:ascii="Times New Roman" w:hAnsi="Times New Roman" w:cs="Times New Roman"/>
            <w:color w:val="0000FF"/>
            <w:sz w:val="20"/>
            <w:szCs w:val="20"/>
            <w:u w:val="single"/>
          </w:rPr>
          <w:t>5 U.S.C. § 8415(a)</w:t>
        </w:r>
      </w:hyperlink>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multi</w:t>
      </w:r>
      <w:r>
        <w:rPr>
          <w:rFonts w:ascii="Times New Roman" w:hAnsi="Times New Roman" w:cs="Times New Roman"/>
          <w:color w:val="000000"/>
          <w:sz w:val="20"/>
          <w:szCs w:val="20"/>
        </w:rPr>
        <w:t>p</w:t>
      </w:r>
      <w:r>
        <w:rPr>
          <w:rFonts w:ascii="Times New Roman" w:hAnsi="Times New Roman" w:cs="Times New Roman"/>
          <w:color w:val="000000"/>
          <w:sz w:val="20"/>
          <w:szCs w:val="20"/>
        </w:rPr>
        <w:t>lied by such individual's total service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217" w:history="1">
        <w:r>
          <w:rPr>
            <w:rFonts w:ascii="Times New Roman" w:hAnsi="Times New Roman" w:cs="Times New Roman"/>
            <w:color w:val="0000FF"/>
            <w:sz w:val="20"/>
            <w:szCs w:val="20"/>
            <w:u w:val="single"/>
          </w:rPr>
          <w:t>42 U.S.C. § 403(f)(3)</w:t>
        </w:r>
      </w:hyperlink>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multiplied by the number of months in such year</w:t>
      </w:r>
      <w:r>
        <w:rPr>
          <w:rFonts w:ascii="Times New Roman" w:hAnsi="Times New Roman" w:cs="Times New Roman"/>
          <w:color w:val="000000"/>
          <w:sz w:val="20"/>
          <w:szCs w:val="20"/>
        </w:rPr>
        <w:t>”</w:t>
      </w:r>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Third, pre</w:t>
      </w:r>
      <w:r>
        <w:rPr>
          <w:rFonts w:ascii="Times New Roman" w:hAnsi="Times New Roman" w:cs="Times New Roman"/>
          <w:color w:val="000000"/>
          <w:sz w:val="20"/>
          <w:szCs w:val="20"/>
        </w:rPr>
        <w:t xml:space="preserve">-BAPCPA case law points in favor of the </w:t>
      </w:r>
      <w:r>
        <w:rPr>
          <w:rFonts w:ascii="Times New Roman" w:hAnsi="Times New Roman" w:cs="Times New Roman"/>
          <w:color w:val="000000"/>
          <w:sz w:val="20"/>
          <w:szCs w:val="20"/>
        </w:rPr>
        <w:t>“</w:t>
      </w:r>
      <w:r>
        <w:rPr>
          <w:rFonts w:ascii="Times New Roman" w:hAnsi="Times New Roman" w:cs="Times New Roman"/>
          <w:color w:val="000000"/>
          <w:sz w:val="20"/>
          <w:szCs w:val="20"/>
        </w:rPr>
        <w:t>forward-looking</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approach. Prior to BAPCPA, the general rule was that courts would multiply a debtor's current monthly income by the number of months in the commitment period as the first step in determining project</w:t>
      </w:r>
      <w:r>
        <w:rPr>
          <w:rFonts w:ascii="Times New Roman" w:hAnsi="Times New Roman" w:cs="Times New Roman"/>
          <w:color w:val="000000"/>
          <w:sz w:val="20"/>
          <w:szCs w:val="20"/>
        </w:rPr>
        <w:t>ed disposable i</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come. See, </w:t>
      </w:r>
      <w:r>
        <w:rPr>
          <w:rFonts w:ascii="Times New Roman" w:hAnsi="Times New Roman" w:cs="Times New Roman"/>
          <w:i/>
          <w:iCs/>
          <w:color w:val="000000"/>
          <w:sz w:val="20"/>
          <w:szCs w:val="20"/>
        </w:rPr>
        <w:t>e.g.,</w:t>
      </w:r>
      <w:r>
        <w:rPr>
          <w:rFonts w:ascii="Times New Roman" w:hAnsi="Times New Roman" w:cs="Times New Roman"/>
          <w:color w:val="000000"/>
          <w:sz w:val="20"/>
          <w:szCs w:val="20"/>
        </w:rPr>
        <w:t xml:space="preserve"> </w:t>
      </w:r>
      <w:hyperlink r:id="rId218" w:history="1">
        <w:r>
          <w:rPr>
            <w:rFonts w:ascii="Times New Roman" w:hAnsi="Times New Roman" w:cs="Times New Roman"/>
            <w:i/>
            <w:iCs/>
            <w:color w:val="0000FF"/>
            <w:sz w:val="20"/>
            <w:szCs w:val="20"/>
            <w:u w:val="single"/>
          </w:rPr>
          <w:t>In re Killough,</w:t>
        </w:r>
      </w:hyperlink>
      <w:hyperlink r:id="rId219" w:history="1">
        <w:r>
          <w:rPr>
            <w:rFonts w:ascii="Times New Roman" w:hAnsi="Times New Roman" w:cs="Times New Roman"/>
            <w:color w:val="0000FF"/>
            <w:sz w:val="20"/>
            <w:szCs w:val="20"/>
            <w:u w:val="single"/>
          </w:rPr>
          <w:t xml:space="preserve"> 900 F.2d 61, 62-63 (C.A.5 1990)</w:t>
        </w:r>
      </w:hyperlink>
      <w:r>
        <w:rPr>
          <w:rFonts w:ascii="Times New Roman" w:hAnsi="Times New Roman" w:cs="Times New Roman"/>
          <w:color w:val="000000"/>
          <w:sz w:val="20"/>
          <w:szCs w:val="20"/>
        </w:rPr>
        <w:t xml:space="preserve"> </w:t>
      </w:r>
      <w:r>
        <w:rPr>
          <w:rFonts w:ascii="Times New Roman" w:hAnsi="Times New Roman" w:cs="Times New Roman"/>
          <w:i/>
          <w:iCs/>
          <w:color w:val="000000"/>
          <w:sz w:val="20"/>
          <w:szCs w:val="20"/>
        </w:rPr>
        <w:t>(per curiam);</w:t>
      </w:r>
      <w:r>
        <w:rPr>
          <w:rFonts w:ascii="Times New Roman" w:hAnsi="Times New Roman" w:cs="Times New Roman"/>
          <w:color w:val="000000"/>
          <w:sz w:val="20"/>
          <w:szCs w:val="20"/>
        </w:rPr>
        <w:t xml:space="preserve"> </w:t>
      </w:r>
      <w:hyperlink r:id="rId220" w:history="1">
        <w:r>
          <w:rPr>
            <w:rFonts w:ascii="Times New Roman" w:hAnsi="Times New Roman" w:cs="Times New Roman"/>
            <w:i/>
            <w:iCs/>
            <w:color w:val="0000FF"/>
            <w:sz w:val="20"/>
            <w:szCs w:val="20"/>
            <w:u w:val="single"/>
          </w:rPr>
          <w:t>In re Anderson,</w:t>
        </w:r>
      </w:hyperlink>
      <w:hyperlink r:id="rId221" w:history="1">
        <w:r>
          <w:rPr>
            <w:rFonts w:ascii="Times New Roman" w:hAnsi="Times New Roman" w:cs="Times New Roman"/>
            <w:color w:val="0000FF"/>
            <w:sz w:val="20"/>
            <w:szCs w:val="20"/>
            <w:u w:val="single"/>
          </w:rPr>
          <w:t xml:space="preserve"> 21 F.3d 355, 357 (C.A.9 1994)</w:t>
        </w:r>
      </w:hyperlink>
      <w:r>
        <w:rPr>
          <w:rFonts w:ascii="Times New Roman" w:hAnsi="Times New Roman" w:cs="Times New Roman"/>
          <w:color w:val="000000"/>
          <w:sz w:val="20"/>
          <w:szCs w:val="20"/>
        </w:rPr>
        <w:t xml:space="preserve">; </w:t>
      </w:r>
      <w:hyperlink r:id="rId222" w:history="1">
        <w:r>
          <w:rPr>
            <w:rFonts w:ascii="Times New Roman" w:hAnsi="Times New Roman" w:cs="Times New Roman"/>
            <w:i/>
            <w:iCs/>
            <w:color w:val="0000FF"/>
            <w:sz w:val="20"/>
            <w:szCs w:val="20"/>
            <w:u w:val="single"/>
          </w:rPr>
          <w:t>In re S</w:t>
        </w:r>
        <w:r>
          <w:rPr>
            <w:rFonts w:ascii="Times New Roman" w:hAnsi="Times New Roman" w:cs="Times New Roman"/>
            <w:i/>
            <w:iCs/>
            <w:color w:val="0000FF"/>
            <w:sz w:val="20"/>
            <w:szCs w:val="20"/>
            <w:u w:val="single"/>
          </w:rPr>
          <w:t>o</w:t>
        </w:r>
        <w:r>
          <w:rPr>
            <w:rFonts w:ascii="Times New Roman" w:hAnsi="Times New Roman" w:cs="Times New Roman"/>
            <w:i/>
            <w:iCs/>
            <w:color w:val="0000FF"/>
            <w:sz w:val="20"/>
            <w:szCs w:val="20"/>
            <w:u w:val="single"/>
          </w:rPr>
          <w:t>lomon,</w:t>
        </w:r>
      </w:hyperlink>
      <w:hyperlink r:id="rId223" w:history="1">
        <w:r>
          <w:rPr>
            <w:rFonts w:ascii="Times New Roman" w:hAnsi="Times New Roman" w:cs="Times New Roman"/>
            <w:color w:val="0000FF"/>
            <w:sz w:val="20"/>
            <w:szCs w:val="20"/>
            <w:u w:val="single"/>
          </w:rPr>
          <w:t xml:space="preserve"> 67 F.3d 1128, 1132 (C.A.4 1995)</w:t>
        </w:r>
      </w:hyperlink>
      <w:r>
        <w:rPr>
          <w:rFonts w:ascii="Times New Roman" w:hAnsi="Times New Roman" w:cs="Times New Roman"/>
          <w:color w:val="000000"/>
          <w:sz w:val="20"/>
          <w:szCs w:val="20"/>
        </w:rPr>
        <w:t>. See 2 Lu</w:t>
      </w:r>
      <w:r>
        <w:rPr>
          <w:rFonts w:ascii="Times New Roman" w:hAnsi="Times New Roman" w:cs="Times New Roman"/>
          <w:color w:val="000000"/>
          <w:sz w:val="20"/>
          <w:szCs w:val="20"/>
        </w:rPr>
        <w:t>n</w:t>
      </w:r>
      <w:r>
        <w:rPr>
          <w:rFonts w:ascii="Times New Roman" w:hAnsi="Times New Roman" w:cs="Times New Roman"/>
          <w:color w:val="000000"/>
          <w:sz w:val="20"/>
          <w:szCs w:val="20"/>
        </w:rPr>
        <w:t>din § 164.1, at 164-1 (2000 ed.) (</w:t>
      </w:r>
      <w:r>
        <w:rPr>
          <w:rFonts w:ascii="Times New Roman" w:hAnsi="Times New Roman" w:cs="Times New Roman"/>
          <w:color w:val="000000"/>
          <w:sz w:val="20"/>
          <w:szCs w:val="20"/>
        </w:rPr>
        <w:t>“</w:t>
      </w:r>
      <w:r>
        <w:rPr>
          <w:rFonts w:ascii="Times New Roman" w:hAnsi="Times New Roman" w:cs="Times New Roman"/>
          <w:color w:val="000000"/>
          <w:sz w:val="20"/>
          <w:szCs w:val="20"/>
        </w:rPr>
        <w:t>Most courts focus on the debtor's current income and extend current income (and expenditures) over the life of the p</w:t>
      </w:r>
      <w:r>
        <w:rPr>
          <w:rFonts w:ascii="Times New Roman" w:hAnsi="Times New Roman" w:cs="Times New Roman"/>
          <w:color w:val="000000"/>
          <w:sz w:val="20"/>
          <w:szCs w:val="20"/>
        </w:rPr>
        <w:t>lan to calculate projected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But courts also had discretion to account for known or virtually certain changes in the debtor's income. See </w:t>
      </w:r>
      <w:hyperlink r:id="rId224" w:history="1">
        <w:r>
          <w:rPr>
            <w:rFonts w:ascii="Times New Roman" w:hAnsi="Times New Roman" w:cs="Times New Roman"/>
            <w:i/>
            <w:iCs/>
            <w:color w:val="0000FF"/>
            <w:sz w:val="20"/>
            <w:szCs w:val="20"/>
            <w:u w:val="single"/>
          </w:rPr>
          <w:t>Heath,</w:t>
        </w:r>
      </w:hyperlink>
      <w:hyperlink r:id="rId225" w:history="1">
        <w:r>
          <w:rPr>
            <w:rFonts w:ascii="Times New Roman" w:hAnsi="Times New Roman" w:cs="Times New Roman"/>
            <w:color w:val="0000FF"/>
            <w:sz w:val="20"/>
            <w:szCs w:val="20"/>
            <w:u w:val="single"/>
          </w:rPr>
          <w:t xml:space="preserve"> 182 B.R., at 559-561;</w:t>
        </w:r>
      </w:hyperlink>
      <w:r>
        <w:rPr>
          <w:rFonts w:ascii="Times New Roman" w:hAnsi="Times New Roman" w:cs="Times New Roman"/>
          <w:color w:val="000000"/>
          <w:sz w:val="20"/>
          <w:szCs w:val="20"/>
        </w:rPr>
        <w:t xml:space="preserve"> </w:t>
      </w:r>
      <w:hyperlink r:id="rId226" w:history="1">
        <w:r>
          <w:rPr>
            <w:rFonts w:ascii="Times New Roman" w:hAnsi="Times New Roman" w:cs="Times New Roman"/>
            <w:i/>
            <w:iCs/>
            <w:color w:val="0000FF"/>
            <w:sz w:val="20"/>
            <w:szCs w:val="20"/>
            <w:u w:val="single"/>
          </w:rPr>
          <w:t>Richardson,</w:t>
        </w:r>
      </w:hyperlink>
      <w:hyperlink r:id="rId227" w:history="1">
        <w:r>
          <w:rPr>
            <w:rFonts w:ascii="Times New Roman" w:hAnsi="Times New Roman" w:cs="Times New Roman"/>
            <w:color w:val="0000FF"/>
            <w:sz w:val="20"/>
            <w:szCs w:val="20"/>
            <w:u w:val="single"/>
          </w:rPr>
          <w:t xml:space="preserve"> 283 B.R., at 799;</w:t>
        </w:r>
      </w:hyperlink>
      <w:r>
        <w:rPr>
          <w:rFonts w:ascii="Times New Roman" w:hAnsi="Times New Roman" w:cs="Times New Roman"/>
          <w:color w:val="000000"/>
          <w:sz w:val="20"/>
          <w:szCs w:val="20"/>
        </w:rPr>
        <w:t xml:space="preserve"> </w:t>
      </w:r>
      <w:hyperlink r:id="rId228" w:history="1">
        <w:r>
          <w:rPr>
            <w:rFonts w:ascii="Times New Roman" w:hAnsi="Times New Roman" w:cs="Times New Roman"/>
            <w:i/>
            <w:iCs/>
            <w:color w:val="0000FF"/>
            <w:sz w:val="20"/>
            <w:szCs w:val="20"/>
            <w:u w:val="single"/>
          </w:rPr>
          <w:t>In re James,</w:t>
        </w:r>
      </w:hyperlink>
      <w:hyperlink r:id="rId229" w:history="1">
        <w:r>
          <w:rPr>
            <w:rFonts w:ascii="Times New Roman" w:hAnsi="Times New Roman" w:cs="Times New Roman"/>
            <w:color w:val="0000FF"/>
            <w:sz w:val="20"/>
            <w:szCs w:val="20"/>
            <w:u w:val="single"/>
          </w:rPr>
          <w:t xml:space="preserve"> 260 B.R. 498, 514-515 (Bkrtcy. Idaho 2001)</w:t>
        </w:r>
      </w:hyperlink>
      <w:r>
        <w:rPr>
          <w:rFonts w:ascii="Times New Roman" w:hAnsi="Times New Roman" w:cs="Times New Roman"/>
          <w:color w:val="000000"/>
          <w:sz w:val="20"/>
          <w:szCs w:val="20"/>
        </w:rPr>
        <w:t xml:space="preserve">; </w:t>
      </w:r>
      <w:hyperlink r:id="rId230" w:history="1">
        <w:r>
          <w:rPr>
            <w:rFonts w:ascii="Times New Roman" w:hAnsi="Times New Roman" w:cs="Times New Roman"/>
            <w:i/>
            <w:iCs/>
            <w:color w:val="0000FF"/>
            <w:sz w:val="20"/>
            <w:szCs w:val="20"/>
            <w:u w:val="single"/>
          </w:rPr>
          <w:t>In re Jobe,</w:t>
        </w:r>
      </w:hyperlink>
      <w:hyperlink r:id="rId231" w:history="1">
        <w:r>
          <w:rPr>
            <w:rFonts w:ascii="Times New Roman" w:hAnsi="Times New Roman" w:cs="Times New Roman"/>
            <w:color w:val="0000FF"/>
            <w:sz w:val="20"/>
            <w:szCs w:val="20"/>
            <w:u w:val="single"/>
          </w:rPr>
          <w:t xml:space="preserve"> 197 B.R. 823, 826-827 (Bkr</w:t>
        </w:r>
        <w:r>
          <w:rPr>
            <w:rFonts w:ascii="Times New Roman" w:hAnsi="Times New Roman" w:cs="Times New Roman"/>
            <w:color w:val="0000FF"/>
            <w:sz w:val="20"/>
            <w:szCs w:val="20"/>
            <w:u w:val="single"/>
          </w:rPr>
          <w:t>t</w:t>
        </w:r>
        <w:r>
          <w:rPr>
            <w:rFonts w:ascii="Times New Roman" w:hAnsi="Times New Roman" w:cs="Times New Roman"/>
            <w:color w:val="0000FF"/>
            <w:sz w:val="20"/>
            <w:szCs w:val="20"/>
            <w:u w:val="single"/>
          </w:rPr>
          <w:t>cy.W.D.Tex.1996)</w:t>
        </w:r>
      </w:hyperlink>
      <w:r>
        <w:rPr>
          <w:rFonts w:ascii="Times New Roman" w:hAnsi="Times New Roman" w:cs="Times New Roman"/>
          <w:color w:val="000000"/>
          <w:sz w:val="20"/>
          <w:szCs w:val="20"/>
        </w:rPr>
        <w:t xml:space="preserve">; </w:t>
      </w:r>
      <w:hyperlink r:id="rId232" w:history="1">
        <w:r>
          <w:rPr>
            <w:rFonts w:ascii="Times New Roman" w:hAnsi="Times New Roman" w:cs="Times New Roman"/>
            <w:i/>
            <w:iCs/>
            <w:color w:val="0000FF"/>
            <w:sz w:val="20"/>
            <w:szCs w:val="20"/>
            <w:u w:val="single"/>
          </w:rPr>
          <w:t>In re Crompton,</w:t>
        </w:r>
      </w:hyperlink>
      <w:hyperlink r:id="rId233" w:history="1">
        <w:r>
          <w:rPr>
            <w:rFonts w:ascii="Times New Roman" w:hAnsi="Times New Roman" w:cs="Times New Roman"/>
            <w:color w:val="0000FF"/>
            <w:sz w:val="20"/>
            <w:szCs w:val="20"/>
            <w:u w:val="single"/>
          </w:rPr>
          <w:t xml:space="preserve"> 73 B.R. 800, 808 (Bkr</w:t>
        </w:r>
        <w:r>
          <w:rPr>
            <w:rFonts w:ascii="Times New Roman" w:hAnsi="Times New Roman" w:cs="Times New Roman"/>
            <w:color w:val="0000FF"/>
            <w:sz w:val="20"/>
            <w:szCs w:val="20"/>
            <w:u w:val="single"/>
          </w:rPr>
          <w:t>t</w:t>
        </w:r>
        <w:r>
          <w:rPr>
            <w:rFonts w:ascii="Times New Roman" w:hAnsi="Times New Roman" w:cs="Times New Roman"/>
            <w:color w:val="0000FF"/>
            <w:sz w:val="20"/>
            <w:szCs w:val="20"/>
            <w:u w:val="single"/>
          </w:rPr>
          <w:t>cy.E.D.Pa.1987)</w:t>
        </w:r>
      </w:hyperlink>
      <w:r>
        <w:rPr>
          <w:rFonts w:ascii="Times New Roman" w:hAnsi="Times New Roman" w:cs="Times New Roman"/>
          <w:color w:val="000000"/>
          <w:sz w:val="20"/>
          <w:szCs w:val="20"/>
        </w:rPr>
        <w:t xml:space="preserve">; see also </w:t>
      </w:r>
      <w:hyperlink r:id="rId234" w:history="1">
        <w:r>
          <w:rPr>
            <w:rFonts w:ascii="Times New Roman" w:hAnsi="Times New Roman" w:cs="Times New Roman"/>
            <w:i/>
            <w:iCs/>
            <w:color w:val="0000FF"/>
            <w:sz w:val="20"/>
            <w:szCs w:val="20"/>
            <w:u w:val="single"/>
          </w:rPr>
          <w:t>In re Schyma,</w:t>
        </w:r>
      </w:hyperlink>
      <w:hyperlink r:id="rId235" w:history="1">
        <w:r>
          <w:rPr>
            <w:rFonts w:ascii="Times New Roman" w:hAnsi="Times New Roman" w:cs="Times New Roman"/>
            <w:color w:val="0000FF"/>
            <w:sz w:val="20"/>
            <w:szCs w:val="20"/>
            <w:u w:val="single"/>
          </w:rPr>
          <w:t xml:space="preserve"> 68 B.R. 52, 63 (Bkrtcy.Min</w:t>
        </w:r>
        <w:r>
          <w:rPr>
            <w:rFonts w:ascii="Times New Roman" w:hAnsi="Times New Roman" w:cs="Times New Roman"/>
            <w:color w:val="0000FF"/>
            <w:sz w:val="20"/>
            <w:szCs w:val="20"/>
            <w:u w:val="single"/>
          </w:rPr>
          <w:t>n.1985)</w:t>
        </w:r>
      </w:hyperlink>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[T]he prospect of div</w:t>
      </w:r>
      <w:r>
        <w:rPr>
          <w:rFonts w:ascii="Times New Roman" w:hAnsi="Times New Roman" w:cs="Times New Roman"/>
          <w:color w:val="000000"/>
          <w:sz w:val="20"/>
          <w:szCs w:val="20"/>
        </w:rPr>
        <w:t>i</w:t>
      </w:r>
      <w:r>
        <w:rPr>
          <w:rFonts w:ascii="Times New Roman" w:hAnsi="Times New Roman" w:cs="Times New Roman"/>
          <w:color w:val="000000"/>
          <w:sz w:val="20"/>
          <w:szCs w:val="20"/>
        </w:rPr>
        <w:t>dends ... is not so certain as to require Debtors or the Court to consider them as regular or disposable i</w:t>
      </w:r>
      <w:r>
        <w:rPr>
          <w:rFonts w:ascii="Times New Roman" w:hAnsi="Times New Roman" w:cs="Times New Roman"/>
          <w:color w:val="000000"/>
          <w:sz w:val="20"/>
          <w:szCs w:val="20"/>
        </w:rPr>
        <w:t>n</w:t>
      </w:r>
      <w:r>
        <w:rPr>
          <w:rFonts w:ascii="Times New Roman" w:hAnsi="Times New Roman" w:cs="Times New Roman"/>
          <w:color w:val="000000"/>
          <w:sz w:val="20"/>
          <w:szCs w:val="20"/>
        </w:rPr>
        <w:t>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236" w:history="1">
        <w:r>
          <w:rPr>
            <w:rFonts w:ascii="Times New Roman" w:hAnsi="Times New Roman" w:cs="Times New Roman"/>
            <w:i/>
            <w:iCs/>
            <w:color w:val="0000FF"/>
            <w:sz w:val="20"/>
            <w:szCs w:val="20"/>
            <w:u w:val="single"/>
          </w:rPr>
          <w:t>In re Krull,</w:t>
        </w:r>
      </w:hyperlink>
      <w:hyperlink r:id="rId237" w:history="1">
        <w:r>
          <w:rPr>
            <w:rFonts w:ascii="Times New Roman" w:hAnsi="Times New Roman" w:cs="Times New Roman"/>
            <w:color w:val="0000FF"/>
            <w:sz w:val="20"/>
            <w:szCs w:val="20"/>
            <w:u w:val="single"/>
          </w:rPr>
          <w:t xml:space="preserve"> 54 B.R. 375, 378 (Bkr</w:t>
        </w:r>
        <w:r>
          <w:rPr>
            <w:rFonts w:ascii="Times New Roman" w:hAnsi="Times New Roman" w:cs="Times New Roman"/>
            <w:color w:val="0000FF"/>
            <w:sz w:val="20"/>
            <w:szCs w:val="20"/>
            <w:u w:val="single"/>
          </w:rPr>
          <w:t>t</w:t>
        </w:r>
        <w:r>
          <w:rPr>
            <w:rFonts w:ascii="Times New Roman" w:hAnsi="Times New Roman" w:cs="Times New Roman"/>
            <w:color w:val="0000FF"/>
            <w:sz w:val="20"/>
            <w:szCs w:val="20"/>
            <w:u w:val="single"/>
          </w:rPr>
          <w:t>cy.Colo.1985)</w:t>
        </w:r>
      </w:hyperlink>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S</w:t>
      </w:r>
      <w:r>
        <w:rPr>
          <w:rFonts w:ascii="Times New Roman" w:hAnsi="Times New Roman" w:cs="Times New Roman"/>
          <w:color w:val="000000"/>
          <w:sz w:val="20"/>
          <w:szCs w:val="20"/>
        </w:rPr>
        <w:t xml:space="preserve">ince there are no changes in income which can be clearly foreseen, the Court must simply multiply the debtor's current disposable income by 36 in order to determine his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income</w:t>
      </w:r>
      <w:r>
        <w:rPr>
          <w:rFonts w:ascii="Times New Roman" w:hAnsi="Times New Roman" w:cs="Times New Roman"/>
          <w:color w:val="000000"/>
          <w:sz w:val="20"/>
          <w:szCs w:val="20"/>
        </w:rPr>
        <w:t>”</w:t>
      </w:r>
      <w:r>
        <w:rPr>
          <w:rFonts w:ascii="Times New Roman" w:hAnsi="Times New Roman" w:cs="Times New Roman"/>
          <w:color w:val="000000"/>
          <w:sz w:val="20"/>
          <w:szCs w:val="20"/>
        </w:rPr>
        <w:t>).</w:t>
      </w:r>
      <w:hyperlink w:anchor="Document1zzB00542022242875" w:history="1">
        <w:r>
          <w:rPr>
            <w:rFonts w:ascii="Times New Roman" w:hAnsi="Times New Roman" w:cs="Times New Roman"/>
            <w:color w:val="0000FF"/>
            <w:sz w:val="20"/>
            <w:szCs w:val="20"/>
            <w:u w:val="single"/>
            <w:vertAlign w:val="superscript"/>
          </w:rPr>
          <w:t>FN4</w:t>
        </w:r>
      </w:hyperlink>
      <w:bookmarkStart w:id="40" w:name="Document1zzF00542022242875"/>
      <w:bookmarkEnd w:id="40"/>
      <w:r>
        <w:rPr>
          <w:rFonts w:ascii="Times New Roman" w:hAnsi="Times New Roman" w:cs="Times New Roman"/>
          <w:color w:val="000000"/>
          <w:sz w:val="20"/>
          <w:szCs w:val="20"/>
        </w:rPr>
        <w:t xml:space="preserve"> This </w:t>
      </w:r>
      <w:r>
        <w:rPr>
          <w:rFonts w:ascii="Times New Roman" w:hAnsi="Times New Roman" w:cs="Times New Roman"/>
          <w:color w:val="000000"/>
          <w:sz w:val="20"/>
          <w:szCs w:val="20"/>
        </w:rPr>
        <w:lastRenderedPageBreak/>
        <w:t>judicial discretion was well documented in conte</w:t>
      </w:r>
      <w:r>
        <w:rPr>
          <w:rFonts w:ascii="Times New Roman" w:hAnsi="Times New Roman" w:cs="Times New Roman"/>
          <w:color w:val="000000"/>
          <w:sz w:val="20"/>
          <w:szCs w:val="20"/>
        </w:rPr>
        <w:t>m</w:t>
      </w:r>
      <w:r>
        <w:rPr>
          <w:rFonts w:ascii="Times New Roman" w:hAnsi="Times New Roman" w:cs="Times New Roman"/>
          <w:color w:val="000000"/>
          <w:sz w:val="20"/>
          <w:szCs w:val="20"/>
        </w:rPr>
        <w:t>porary bankruptcy treatises. See 8 Collier on Ban</w:t>
      </w:r>
      <w:r>
        <w:rPr>
          <w:rFonts w:ascii="Times New Roman" w:hAnsi="Times New Roman" w:cs="Times New Roman"/>
          <w:color w:val="000000"/>
          <w:sz w:val="20"/>
          <w:szCs w:val="20"/>
        </w:rPr>
        <w:t>k</w:t>
      </w:r>
      <w:r>
        <w:rPr>
          <w:rFonts w:ascii="Times New Roman" w:hAnsi="Times New Roman" w:cs="Times New Roman"/>
          <w:color w:val="000000"/>
          <w:sz w:val="20"/>
          <w:szCs w:val="20"/>
        </w:rPr>
        <w:t>ruptcy ¶ 1325.08[4] [a], p. 1325-50 (15th ed. rev.2004) (hereinafter Collier)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As a practical matter, </w:t>
      </w:r>
      <w:r>
        <w:rPr>
          <w:rFonts w:ascii="Times New Roman" w:hAnsi="Times New Roman" w:cs="Times New Roman"/>
          <w:i/>
          <w:iCs/>
          <w:color w:val="000000"/>
          <w:sz w:val="20"/>
          <w:szCs w:val="20"/>
        </w:rPr>
        <w:t>unless there ar</w:t>
      </w:r>
      <w:r>
        <w:rPr>
          <w:rFonts w:ascii="Times New Roman" w:hAnsi="Times New Roman" w:cs="Times New Roman"/>
          <w:i/>
          <w:iCs/>
          <w:color w:val="000000"/>
          <w:sz w:val="20"/>
          <w:szCs w:val="20"/>
        </w:rPr>
        <w:t>e changes which can be clearly for</w:t>
      </w:r>
      <w:r>
        <w:rPr>
          <w:rFonts w:ascii="Times New Roman" w:hAnsi="Times New Roman" w:cs="Times New Roman"/>
          <w:i/>
          <w:iCs/>
          <w:color w:val="000000"/>
          <w:sz w:val="20"/>
          <w:szCs w:val="20"/>
        </w:rPr>
        <w:t>e</w:t>
      </w:r>
      <w:r>
        <w:rPr>
          <w:rFonts w:ascii="Times New Roman" w:hAnsi="Times New Roman" w:cs="Times New Roman"/>
          <w:i/>
          <w:iCs/>
          <w:color w:val="000000"/>
          <w:sz w:val="20"/>
          <w:szCs w:val="20"/>
        </w:rPr>
        <w:t>seen,</w:t>
      </w:r>
      <w:r>
        <w:rPr>
          <w:rFonts w:ascii="Times New Roman" w:hAnsi="Times New Roman" w:cs="Times New Roman"/>
          <w:color w:val="000000"/>
          <w:sz w:val="20"/>
          <w:szCs w:val="20"/>
        </w:rPr>
        <w:t xml:space="preserve"> the court must simply multiply the debtor's known monthly income by 36 and determine whether the amount to be paid under the plan equals or exceeds that amount</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(emphasis added)); </w:t>
      </w:r>
      <w:hyperlink r:id="rId238" w:history="1">
        <w:r>
          <w:rPr>
            <w:rFonts w:ascii="Times New Roman" w:hAnsi="Times New Roman" w:cs="Times New Roman"/>
            <w:color w:val="0000FF"/>
            <w:sz w:val="20"/>
            <w:szCs w:val="20"/>
            <w:u w:val="single"/>
          </w:rPr>
          <w:t>3 W. Norton, Bankruptcy Law and Practice § 75.10, p. 64 (1991)</w:t>
        </w:r>
      </w:hyperlink>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It has been held that the court should focus upon present monthly income and expenditures and, </w:t>
      </w:r>
      <w:r>
        <w:rPr>
          <w:rFonts w:ascii="Times New Roman" w:hAnsi="Times New Roman" w:cs="Times New Roman"/>
          <w:i/>
          <w:iCs/>
          <w:color w:val="000000"/>
          <w:sz w:val="20"/>
          <w:szCs w:val="20"/>
        </w:rPr>
        <w:t>absent extraordi</w:t>
      </w:r>
      <w:r>
        <w:rPr>
          <w:rFonts w:ascii="Times New Roman" w:hAnsi="Times New Roman" w:cs="Times New Roman"/>
          <w:i/>
          <w:iCs/>
          <w:color w:val="000000"/>
          <w:sz w:val="20"/>
          <w:szCs w:val="20"/>
        </w:rPr>
        <w:t>nary circumstances,</w:t>
      </w:r>
      <w:r>
        <w:rPr>
          <w:rFonts w:ascii="Times New Roman" w:hAnsi="Times New Roman" w:cs="Times New Roman"/>
          <w:color w:val="000000"/>
          <w:sz w:val="20"/>
          <w:szCs w:val="20"/>
        </w:rPr>
        <w:t xml:space="preserve"> project these current amounts over the life of the plan to determine pr</w:t>
      </w:r>
      <w:r>
        <w:rPr>
          <w:rFonts w:ascii="Times New Roman" w:hAnsi="Times New Roman" w:cs="Times New Roman"/>
          <w:color w:val="000000"/>
          <w:sz w:val="20"/>
          <w:szCs w:val="20"/>
        </w:rPr>
        <w:t>o</w:t>
      </w:r>
      <w:r>
        <w:rPr>
          <w:rFonts w:ascii="Times New Roman" w:hAnsi="Times New Roman" w:cs="Times New Roman"/>
          <w:color w:val="000000"/>
          <w:sz w:val="20"/>
          <w:szCs w:val="20"/>
        </w:rPr>
        <w:t>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(emphasis added)); 2 Lu</w:t>
      </w:r>
      <w:r>
        <w:rPr>
          <w:rFonts w:ascii="Times New Roman" w:hAnsi="Times New Roman" w:cs="Times New Roman"/>
          <w:color w:val="000000"/>
          <w:sz w:val="20"/>
          <w:szCs w:val="20"/>
        </w:rPr>
        <w:t>n</w:t>
      </w:r>
      <w:r>
        <w:rPr>
          <w:rFonts w:ascii="Times New Roman" w:hAnsi="Times New Roman" w:cs="Times New Roman"/>
          <w:color w:val="000000"/>
          <w:sz w:val="20"/>
          <w:szCs w:val="20"/>
        </w:rPr>
        <w:t>din § 164.1, at 164-28 to 164-31 (2000 ed.) (descri</w:t>
      </w:r>
      <w:r>
        <w:rPr>
          <w:rFonts w:ascii="Times New Roman" w:hAnsi="Times New Roman" w:cs="Times New Roman"/>
          <w:color w:val="000000"/>
          <w:sz w:val="20"/>
          <w:szCs w:val="20"/>
        </w:rPr>
        <w:t>b</w:t>
      </w:r>
      <w:r>
        <w:rPr>
          <w:rFonts w:ascii="Times New Roman" w:hAnsi="Times New Roman" w:cs="Times New Roman"/>
          <w:color w:val="000000"/>
          <w:sz w:val="20"/>
          <w:szCs w:val="20"/>
        </w:rPr>
        <w:t>ing how reported decisions treated anticipated changes in inco</w:t>
      </w:r>
      <w:r>
        <w:rPr>
          <w:rFonts w:ascii="Times New Roman" w:hAnsi="Times New Roman" w:cs="Times New Roman"/>
          <w:color w:val="000000"/>
          <w:sz w:val="20"/>
          <w:szCs w:val="20"/>
        </w:rPr>
        <w:t xml:space="preserve">me, particularly where such changes were </w:t>
      </w:r>
      <w:r>
        <w:rPr>
          <w:rFonts w:ascii="Times New Roman" w:hAnsi="Times New Roman" w:cs="Times New Roman"/>
          <w:color w:val="000000"/>
          <w:sz w:val="20"/>
          <w:szCs w:val="20"/>
        </w:rPr>
        <w:t>“</w:t>
      </w:r>
      <w:r>
        <w:rPr>
          <w:rFonts w:ascii="Times New Roman" w:hAnsi="Times New Roman" w:cs="Times New Roman"/>
          <w:color w:val="000000"/>
          <w:sz w:val="20"/>
          <w:szCs w:val="20"/>
        </w:rPr>
        <w:t>too speculative to be 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see also </w:t>
      </w:r>
      <w:hyperlink r:id="rId239" w:history="1">
        <w:r>
          <w:rPr>
            <w:rFonts w:ascii="Times New Roman" w:hAnsi="Times New Roman" w:cs="Times New Roman"/>
            <w:i/>
            <w:iCs/>
            <w:color w:val="0000FF"/>
            <w:sz w:val="20"/>
            <w:szCs w:val="20"/>
            <w:u w:val="single"/>
          </w:rPr>
          <w:t>In re Greer,</w:t>
        </w:r>
      </w:hyperlink>
      <w:hyperlink r:id="rId240" w:history="1">
        <w:r>
          <w:rPr>
            <w:rFonts w:ascii="Times New Roman" w:hAnsi="Times New Roman" w:cs="Times New Roman"/>
            <w:color w:val="0000FF"/>
            <w:sz w:val="20"/>
            <w:szCs w:val="20"/>
            <w:u w:val="single"/>
          </w:rPr>
          <w:t xml:space="preserve"> 388 B.R. 889, 892 (Bkrtcy.C.D.Ill.2008)</w:t>
        </w:r>
      </w:hyperlink>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As a practical matter, unless there are changes which can b</w:t>
      </w:r>
      <w:r>
        <w:rPr>
          <w:rFonts w:ascii="Times New Roman" w:hAnsi="Times New Roman" w:cs="Times New Roman"/>
          <w:color w:val="000000"/>
          <w:sz w:val="20"/>
          <w:szCs w:val="20"/>
        </w:rPr>
        <w:t>e clearly foreseen, the court must simply multi</w:t>
      </w:r>
      <w:r>
        <w:rPr>
          <w:rFonts w:ascii="Times New Roman" w:hAnsi="Times New Roman" w:cs="Times New Roman"/>
          <w:color w:val="000000"/>
          <w:sz w:val="20"/>
          <w:szCs w:val="20"/>
        </w:rPr>
        <w:t>p</w:t>
      </w:r>
      <w:r>
        <w:rPr>
          <w:rFonts w:ascii="Times New Roman" w:hAnsi="Times New Roman" w:cs="Times New Roman"/>
          <w:color w:val="000000"/>
          <w:sz w:val="20"/>
          <w:szCs w:val="20"/>
        </w:rPr>
        <w:t>ly the debtor's current monthly income by thirty-six</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(quoting 5 Collier ¶ 1325.08[4][a] (15th ed. rev.1995))); </w:t>
      </w:r>
      <w:hyperlink r:id="rId241" w:history="1">
        <w:r>
          <w:rPr>
            <w:rFonts w:ascii="Times New Roman" w:hAnsi="Times New Roman" w:cs="Times New Roman"/>
            <w:i/>
            <w:iCs/>
            <w:color w:val="0000FF"/>
            <w:sz w:val="20"/>
            <w:szCs w:val="20"/>
            <w:u w:val="single"/>
          </w:rPr>
          <w:t>James,</w:t>
        </w:r>
      </w:hyperlink>
      <w:hyperlink r:id="rId242" w:history="1">
        <w:r>
          <w:rPr>
            <w:rFonts w:ascii="Times New Roman" w:hAnsi="Times New Roman" w:cs="Times New Roman"/>
            <w:color w:val="0000FF"/>
            <w:sz w:val="24"/>
            <w:szCs w:val="24"/>
            <w:u w:val="single"/>
          </w:rPr>
          <w:t> </w:t>
        </w:r>
      </w:hyperlink>
      <w:hyperlink r:id="rId243" w:history="1">
        <w:r>
          <w:rPr>
            <w:rFonts w:ascii="Times New Roman" w:hAnsi="Times New Roman" w:cs="Times New Roman"/>
            <w:i/>
            <w:iCs/>
            <w:color w:val="0000FF"/>
            <w:sz w:val="20"/>
            <w:szCs w:val="20"/>
            <w:u w:val="single"/>
          </w:rPr>
          <w:t>supra,</w:t>
        </w:r>
      </w:hyperlink>
      <w:hyperlink r:id="rId244" w:history="1">
        <w:r>
          <w:rPr>
            <w:rFonts w:ascii="Times New Roman" w:hAnsi="Times New Roman" w:cs="Times New Roman"/>
            <w:color w:val="0000FF"/>
            <w:sz w:val="20"/>
            <w:szCs w:val="20"/>
            <w:u w:val="single"/>
          </w:rPr>
          <w:t xml:space="preserve"> at 514</w:t>
        </w:r>
      </w:hyperlink>
      <w:r>
        <w:rPr>
          <w:rFonts w:ascii="Times New Roman" w:hAnsi="Times New Roman" w:cs="Times New Roman"/>
          <w:color w:val="000000"/>
          <w:sz w:val="20"/>
          <w:szCs w:val="20"/>
        </w:rPr>
        <w:t xml:space="preserve"> (same) (quoting 8 Collier ¶ 1325.08[4][a] (15th ed. rev.2000)); </w:t>
      </w:r>
      <w:hyperlink r:id="rId245" w:history="1">
        <w:r>
          <w:rPr>
            <w:rFonts w:ascii="Times New Roman" w:hAnsi="Times New Roman" w:cs="Times New Roman"/>
            <w:i/>
            <w:iCs/>
            <w:color w:val="0000FF"/>
            <w:sz w:val="20"/>
            <w:szCs w:val="20"/>
            <w:u w:val="single"/>
          </w:rPr>
          <w:t>Cro</w:t>
        </w:r>
        <w:r>
          <w:rPr>
            <w:rFonts w:ascii="Times New Roman" w:hAnsi="Times New Roman" w:cs="Times New Roman"/>
            <w:i/>
            <w:iCs/>
            <w:color w:val="0000FF"/>
            <w:sz w:val="20"/>
            <w:szCs w:val="20"/>
            <w:u w:val="single"/>
          </w:rPr>
          <w:t>mpton,</w:t>
        </w:r>
      </w:hyperlink>
      <w:hyperlink r:id="rId246" w:history="1">
        <w:r>
          <w:rPr>
            <w:rFonts w:ascii="Times New Roman" w:hAnsi="Times New Roman" w:cs="Times New Roman"/>
            <w:color w:val="0000FF"/>
            <w:sz w:val="24"/>
            <w:szCs w:val="24"/>
            <w:u w:val="single"/>
          </w:rPr>
          <w:t> </w:t>
        </w:r>
      </w:hyperlink>
      <w:hyperlink r:id="rId247" w:history="1">
        <w:r>
          <w:rPr>
            <w:rFonts w:ascii="Times New Roman" w:hAnsi="Times New Roman" w:cs="Times New Roman"/>
            <w:i/>
            <w:iCs/>
            <w:color w:val="0000FF"/>
            <w:sz w:val="20"/>
            <w:szCs w:val="20"/>
            <w:u w:val="single"/>
          </w:rPr>
          <w:t>supra,</w:t>
        </w:r>
      </w:hyperlink>
      <w:hyperlink r:id="rId248" w:history="1">
        <w:r>
          <w:rPr>
            <w:rFonts w:ascii="Times New Roman" w:hAnsi="Times New Roman" w:cs="Times New Roman"/>
            <w:color w:val="0000FF"/>
            <w:sz w:val="20"/>
            <w:szCs w:val="20"/>
            <w:u w:val="single"/>
          </w:rPr>
          <w:t xml:space="preserve"> at 808</w:t>
        </w:r>
      </w:hyperlink>
      <w:r>
        <w:rPr>
          <w:rFonts w:ascii="Times New Roman" w:hAnsi="Times New Roman" w:cs="Times New Roman"/>
          <w:color w:val="000000"/>
          <w:sz w:val="20"/>
          <w:szCs w:val="20"/>
        </w:rPr>
        <w:t xml:space="preserve"> (same) (citing 5 Collier ¶ 1325.08[4][a], [b], at 1325-47 to 1325-48 (15th ed.1986)). Accord, 8 Collier ¶ 1325.08[4][b], at 1325-60 (15th ed. rev.2007) (</w:t>
      </w:r>
      <w:r>
        <w:rPr>
          <w:rFonts w:ascii="Times New Roman" w:hAnsi="Times New Roman" w:cs="Times New Roman"/>
          <w:color w:val="000000"/>
          <w:sz w:val="20"/>
          <w:szCs w:val="20"/>
        </w:rPr>
        <w:t>“</w:t>
      </w:r>
      <w:r>
        <w:rPr>
          <w:rFonts w:ascii="Times New Roman" w:hAnsi="Times New Roman" w:cs="Times New Roman"/>
          <w:color w:val="000000"/>
          <w:sz w:val="20"/>
          <w:szCs w:val="20"/>
        </w:rPr>
        <w:t>As with the income side of t</w:t>
      </w:r>
      <w:r>
        <w:rPr>
          <w:rFonts w:ascii="Times New Roman" w:hAnsi="Times New Roman" w:cs="Times New Roman"/>
          <w:color w:val="000000"/>
          <w:sz w:val="20"/>
          <w:szCs w:val="20"/>
        </w:rPr>
        <w:t xml:space="preserve">he budget, the court must simply use the debtor's current expenses, </w:t>
      </w:r>
      <w:r>
        <w:rPr>
          <w:rFonts w:ascii="Times New Roman" w:hAnsi="Times New Roman" w:cs="Times New Roman"/>
          <w:i/>
          <w:iCs/>
          <w:color w:val="000000"/>
          <w:sz w:val="20"/>
          <w:szCs w:val="20"/>
        </w:rPr>
        <w:t>unless a change in them is virtually certain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(emphasis ad</w:t>
      </w:r>
      <w:r>
        <w:rPr>
          <w:rFonts w:ascii="Times New Roman" w:hAnsi="Times New Roman" w:cs="Times New Roman"/>
          <w:color w:val="000000"/>
          <w:sz w:val="20"/>
          <w:szCs w:val="20"/>
        </w:rPr>
        <w:t>d</w:t>
      </w:r>
      <w:r>
        <w:rPr>
          <w:rFonts w:ascii="Times New Roman" w:hAnsi="Times New Roman" w:cs="Times New Roman"/>
          <w:color w:val="000000"/>
          <w:sz w:val="20"/>
          <w:szCs w:val="20"/>
        </w:rPr>
        <w:t>ed)). Indeed, petitioner concedes that courts possessed this discretion prior to BAPCPA. Tr. of Oral Arg. 7.</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ind w:left="720"/>
        <w:jc w:val="both"/>
        <w:rPr>
          <w:rFonts w:ascii="Times New Roman" w:hAnsi="Times New Roman" w:cs="Times New Roman"/>
          <w:color w:val="000000"/>
          <w:sz w:val="24"/>
          <w:szCs w:val="24"/>
        </w:rPr>
      </w:pPr>
      <w:hyperlink w:anchor="Document1zzF00542022242875" w:history="1">
        <w:r>
          <w:rPr>
            <w:rFonts w:ascii="Times New Roman" w:hAnsi="Times New Roman" w:cs="Times New Roman"/>
            <w:color w:val="0000FF"/>
            <w:sz w:val="20"/>
            <w:szCs w:val="20"/>
            <w:u w:val="single"/>
          </w:rPr>
          <w:t>FN4.</w:t>
        </w:r>
      </w:hyperlink>
      <w:bookmarkStart w:id="41" w:name="Document1zzB00542022242875"/>
      <w:bookmarkEnd w:id="41"/>
      <w:r>
        <w:rPr>
          <w:rFonts w:ascii="Times New Roman" w:hAnsi="Times New Roman" w:cs="Times New Roman"/>
          <w:color w:val="000000"/>
          <w:sz w:val="20"/>
          <w:szCs w:val="20"/>
        </w:rPr>
        <w:t xml:space="preserve"> When pre-BAPCPA courts declined to make adjustments based on possible changes in a debtor's future income or expenses, they did so because the changes were not suff</w:t>
      </w:r>
      <w:r>
        <w:rPr>
          <w:rFonts w:ascii="Times New Roman" w:hAnsi="Times New Roman" w:cs="Times New Roman"/>
          <w:color w:val="000000"/>
          <w:sz w:val="20"/>
          <w:szCs w:val="20"/>
        </w:rPr>
        <w:t>i</w:t>
      </w:r>
      <w:r>
        <w:rPr>
          <w:rFonts w:ascii="Times New Roman" w:hAnsi="Times New Roman" w:cs="Times New Roman"/>
          <w:color w:val="000000"/>
          <w:sz w:val="20"/>
          <w:szCs w:val="20"/>
        </w:rPr>
        <w:t>ciently f</w:t>
      </w:r>
      <w:r>
        <w:rPr>
          <w:rFonts w:ascii="Times New Roman" w:hAnsi="Times New Roman" w:cs="Times New Roman"/>
          <w:color w:val="000000"/>
          <w:sz w:val="20"/>
          <w:szCs w:val="20"/>
        </w:rPr>
        <w:t>oreseeable, not because they co</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cluded that they lacked discretion to depart from a strictly mechanical approach. In </w:t>
      </w:r>
      <w:hyperlink r:id="rId249" w:history="1">
        <w:r>
          <w:rPr>
            <w:rFonts w:ascii="Times New Roman" w:hAnsi="Times New Roman" w:cs="Times New Roman"/>
            <w:i/>
            <w:iCs/>
            <w:color w:val="0000FF"/>
            <w:sz w:val="20"/>
            <w:szCs w:val="20"/>
            <w:u w:val="single"/>
          </w:rPr>
          <w:t>In re</w:t>
        </w:r>
      </w:hyperlink>
      <w:hyperlink r:id="rId250" w:history="1">
        <w:r>
          <w:rPr>
            <w:rFonts w:ascii="Times New Roman" w:hAnsi="Times New Roman" w:cs="Times New Roman"/>
            <w:i/>
            <w:iCs/>
            <w:color w:val="0000FF"/>
            <w:sz w:val="20"/>
            <w:szCs w:val="20"/>
            <w:u w:val="single"/>
          </w:rPr>
          <w:t>Solomon,</w:t>
        </w:r>
      </w:hyperlink>
      <w:hyperlink r:id="rId251" w:history="1">
        <w:r>
          <w:rPr>
            <w:rFonts w:ascii="Times New Roman" w:hAnsi="Times New Roman" w:cs="Times New Roman"/>
            <w:color w:val="0000FF"/>
            <w:sz w:val="20"/>
            <w:szCs w:val="20"/>
            <w:u w:val="single"/>
          </w:rPr>
          <w:t xml:space="preserve"> 67 F.3d 1128 (1995)</w:t>
        </w:r>
      </w:hyperlink>
      <w:r>
        <w:rPr>
          <w:rFonts w:ascii="Times New Roman" w:hAnsi="Times New Roman" w:cs="Times New Roman"/>
          <w:color w:val="000000"/>
          <w:sz w:val="20"/>
          <w:szCs w:val="20"/>
        </w:rPr>
        <w:t>, for exa</w:t>
      </w:r>
      <w:r>
        <w:rPr>
          <w:rFonts w:ascii="Times New Roman" w:hAnsi="Times New Roman" w:cs="Times New Roman"/>
          <w:color w:val="000000"/>
          <w:sz w:val="20"/>
          <w:szCs w:val="20"/>
        </w:rPr>
        <w:t>m</w:t>
      </w:r>
      <w:r>
        <w:rPr>
          <w:rFonts w:ascii="Times New Roman" w:hAnsi="Times New Roman" w:cs="Times New Roman"/>
          <w:color w:val="000000"/>
          <w:sz w:val="20"/>
          <w:szCs w:val="20"/>
        </w:rPr>
        <w:t>ple, the Fourth Circuit r</w:t>
      </w:r>
      <w:r>
        <w:rPr>
          <w:rFonts w:ascii="Times New Roman" w:hAnsi="Times New Roman" w:cs="Times New Roman"/>
          <w:color w:val="000000"/>
          <w:sz w:val="20"/>
          <w:szCs w:val="20"/>
        </w:rPr>
        <w:t>efused to make such an adjustment because it deemed disburs</w:t>
      </w:r>
      <w:r>
        <w:rPr>
          <w:rFonts w:ascii="Times New Roman" w:hAnsi="Times New Roman" w:cs="Times New Roman"/>
          <w:color w:val="000000"/>
          <w:sz w:val="20"/>
          <w:szCs w:val="20"/>
        </w:rPr>
        <w:t>e</w:t>
      </w:r>
      <w:r>
        <w:rPr>
          <w:rFonts w:ascii="Times New Roman" w:hAnsi="Times New Roman" w:cs="Times New Roman"/>
          <w:color w:val="000000"/>
          <w:sz w:val="20"/>
          <w:szCs w:val="20"/>
        </w:rPr>
        <w:t xml:space="preserve">ments from an individual retirement account during the plan period to be </w:t>
      </w:r>
      <w:r>
        <w:rPr>
          <w:rFonts w:ascii="Times New Roman" w:hAnsi="Times New Roman" w:cs="Times New Roman"/>
          <w:color w:val="000000"/>
          <w:sz w:val="20"/>
          <w:szCs w:val="20"/>
        </w:rPr>
        <w:t>“</w:t>
      </w:r>
      <w:r>
        <w:rPr>
          <w:rFonts w:ascii="Times New Roman" w:hAnsi="Times New Roman" w:cs="Times New Roman"/>
          <w:color w:val="000000"/>
          <w:sz w:val="20"/>
          <w:szCs w:val="20"/>
        </w:rPr>
        <w:t>speculative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and </w:t>
      </w:r>
      <w:r>
        <w:rPr>
          <w:rFonts w:ascii="Times New Roman" w:hAnsi="Times New Roman" w:cs="Times New Roman"/>
          <w:color w:val="000000"/>
          <w:sz w:val="20"/>
          <w:szCs w:val="20"/>
        </w:rPr>
        <w:t>“</w:t>
      </w:r>
      <w:r>
        <w:rPr>
          <w:rFonts w:ascii="Times New Roman" w:hAnsi="Times New Roman" w:cs="Times New Roman"/>
          <w:color w:val="000000"/>
          <w:sz w:val="20"/>
          <w:szCs w:val="20"/>
        </w:rPr>
        <w:t>hypothetical.</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252" w:history="1">
        <w:r>
          <w:rPr>
            <w:rFonts w:ascii="Times New Roman" w:hAnsi="Times New Roman" w:cs="Times New Roman"/>
            <w:i/>
            <w:iCs/>
            <w:color w:val="0000FF"/>
            <w:sz w:val="20"/>
            <w:szCs w:val="20"/>
            <w:u w:val="single"/>
          </w:rPr>
          <w:t>Id.,</w:t>
        </w:r>
      </w:hyperlink>
      <w:hyperlink r:id="rId253" w:history="1">
        <w:r>
          <w:rPr>
            <w:rFonts w:ascii="Times New Roman" w:hAnsi="Times New Roman" w:cs="Times New Roman"/>
            <w:color w:val="0000FF"/>
            <w:sz w:val="20"/>
            <w:szCs w:val="20"/>
            <w:u w:val="single"/>
          </w:rPr>
          <w:t xml:space="preserve"> at 1132.</w:t>
        </w:r>
      </w:hyperlink>
      <w:r>
        <w:rPr>
          <w:rFonts w:ascii="Times New Roman" w:hAnsi="Times New Roman" w:cs="Times New Roman"/>
          <w:color w:val="000000"/>
          <w:sz w:val="20"/>
          <w:szCs w:val="20"/>
        </w:rPr>
        <w:t xml:space="preserve"> There is no reason to assume that the result would have been the same if future disbursements had been more assured. That was c</w:t>
      </w:r>
      <w:r>
        <w:rPr>
          <w:rFonts w:ascii="Times New Roman" w:hAnsi="Times New Roman" w:cs="Times New Roman"/>
          <w:color w:val="000000"/>
          <w:sz w:val="20"/>
          <w:szCs w:val="20"/>
        </w:rPr>
        <w:t xml:space="preserve">ertainly true of </w:t>
      </w:r>
      <w:hyperlink r:id="rId254" w:history="1">
        <w:r>
          <w:rPr>
            <w:rFonts w:ascii="Times New Roman" w:hAnsi="Times New Roman" w:cs="Times New Roman"/>
            <w:i/>
            <w:iCs/>
            <w:color w:val="0000FF"/>
            <w:sz w:val="20"/>
            <w:szCs w:val="20"/>
            <w:u w:val="single"/>
          </w:rPr>
          <w:t>In re</w:t>
        </w:r>
      </w:hyperlink>
      <w:hyperlink r:id="rId255" w:history="1">
        <w:r>
          <w:rPr>
            <w:rFonts w:ascii="Times New Roman" w:hAnsi="Times New Roman" w:cs="Times New Roman"/>
            <w:i/>
            <w:iCs/>
            <w:color w:val="0000FF"/>
            <w:sz w:val="20"/>
            <w:szCs w:val="20"/>
            <w:u w:val="single"/>
          </w:rPr>
          <w:t>Killough,</w:t>
        </w:r>
      </w:hyperlink>
      <w:hyperlink r:id="rId256" w:history="1">
        <w:r>
          <w:rPr>
            <w:rFonts w:ascii="Times New Roman" w:hAnsi="Times New Roman" w:cs="Times New Roman"/>
            <w:color w:val="0000FF"/>
            <w:sz w:val="20"/>
            <w:szCs w:val="20"/>
            <w:u w:val="single"/>
          </w:rPr>
          <w:t xml:space="preserve"> 900 F.2d 61 (1990)</w:t>
        </w:r>
      </w:hyperlink>
      <w:r>
        <w:rPr>
          <w:rFonts w:ascii="Times New Roman" w:hAnsi="Times New Roman" w:cs="Times New Roman"/>
          <w:color w:val="000000"/>
          <w:sz w:val="20"/>
          <w:szCs w:val="20"/>
        </w:rPr>
        <w:t>, in which the Fifth Circuit declined to require inclusion of overtime pay in projected disposable i</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come because it </w:t>
      </w:r>
      <w:r>
        <w:rPr>
          <w:rFonts w:ascii="Times New Roman" w:hAnsi="Times New Roman" w:cs="Times New Roman"/>
          <w:color w:val="000000"/>
          <w:sz w:val="20"/>
          <w:szCs w:val="20"/>
        </w:rPr>
        <w:t>“</w:t>
      </w:r>
      <w:r>
        <w:rPr>
          <w:rFonts w:ascii="Times New Roman" w:hAnsi="Times New Roman" w:cs="Times New Roman"/>
          <w:color w:val="000000"/>
          <w:sz w:val="20"/>
          <w:szCs w:val="20"/>
        </w:rPr>
        <w:t>was not definite enough.</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257" w:history="1">
        <w:r>
          <w:rPr>
            <w:rFonts w:ascii="Times New Roman" w:hAnsi="Times New Roman" w:cs="Times New Roman"/>
            <w:i/>
            <w:iCs/>
            <w:color w:val="0000FF"/>
            <w:sz w:val="20"/>
            <w:szCs w:val="20"/>
            <w:u w:val="single"/>
          </w:rPr>
          <w:t>Id.,</w:t>
        </w:r>
      </w:hyperlink>
      <w:hyperlink r:id="rId258" w:history="1">
        <w:r>
          <w:rPr>
            <w:rFonts w:ascii="Times New Roman" w:hAnsi="Times New Roman" w:cs="Times New Roman"/>
            <w:color w:val="0000FF"/>
            <w:sz w:val="20"/>
            <w:szCs w:val="20"/>
            <w:u w:val="single"/>
          </w:rPr>
          <w:t xml:space="preserve"> at 65;</w:t>
        </w:r>
      </w:hyperlink>
      <w:r>
        <w:rPr>
          <w:rFonts w:ascii="Times New Roman" w:hAnsi="Times New Roman" w:cs="Times New Roman"/>
          <w:color w:val="000000"/>
          <w:sz w:val="20"/>
          <w:szCs w:val="20"/>
        </w:rPr>
        <w:t xml:space="preserve"> see also </w:t>
      </w:r>
      <w:hyperlink r:id="rId259" w:history="1">
        <w:r>
          <w:rPr>
            <w:rFonts w:ascii="Times New Roman" w:hAnsi="Times New Roman" w:cs="Times New Roman"/>
            <w:i/>
            <w:iCs/>
            <w:color w:val="0000FF"/>
            <w:sz w:val="20"/>
            <w:szCs w:val="20"/>
            <w:u w:val="single"/>
          </w:rPr>
          <w:t>id.,</w:t>
        </w:r>
      </w:hyperlink>
      <w:hyperlink r:id="rId260" w:history="1">
        <w:r>
          <w:rPr>
            <w:rFonts w:ascii="Times New Roman" w:hAnsi="Times New Roman" w:cs="Times New Roman"/>
            <w:color w:val="0000FF"/>
            <w:sz w:val="20"/>
            <w:szCs w:val="20"/>
            <w:u w:val="single"/>
          </w:rPr>
          <w:t xml:space="preserve"> at 66</w:t>
        </w:r>
      </w:hyperlink>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[T]here may be i</w:t>
      </w:r>
      <w:r>
        <w:rPr>
          <w:rFonts w:ascii="Times New Roman" w:hAnsi="Times New Roman" w:cs="Times New Roman"/>
          <w:color w:val="000000"/>
          <w:sz w:val="20"/>
          <w:szCs w:val="20"/>
        </w:rPr>
        <w:t>n</w:t>
      </w:r>
      <w:r>
        <w:rPr>
          <w:rFonts w:ascii="Times New Roman" w:hAnsi="Times New Roman" w:cs="Times New Roman"/>
          <w:color w:val="000000"/>
          <w:sz w:val="20"/>
          <w:szCs w:val="20"/>
        </w:rPr>
        <w:t>stances where income obtain</w:t>
      </w:r>
      <w:r>
        <w:rPr>
          <w:rFonts w:ascii="Times New Roman" w:hAnsi="Times New Roman" w:cs="Times New Roman"/>
          <w:color w:val="000000"/>
          <w:sz w:val="20"/>
          <w:szCs w:val="20"/>
        </w:rPr>
        <w:t>ed through working overtime can and should appr</w:t>
      </w:r>
      <w:r>
        <w:rPr>
          <w:rFonts w:ascii="Times New Roman" w:hAnsi="Times New Roman" w:cs="Times New Roman"/>
          <w:color w:val="000000"/>
          <w:sz w:val="20"/>
          <w:szCs w:val="20"/>
        </w:rPr>
        <w:t>o</w:t>
      </w:r>
      <w:r>
        <w:rPr>
          <w:rFonts w:ascii="Times New Roman" w:hAnsi="Times New Roman" w:cs="Times New Roman"/>
          <w:color w:val="000000"/>
          <w:sz w:val="20"/>
          <w:szCs w:val="20"/>
        </w:rPr>
        <w:t>priately be included in a debtor's projected dispos</w:t>
      </w:r>
      <w:r>
        <w:rPr>
          <w:rFonts w:ascii="Times New Roman" w:hAnsi="Times New Roman" w:cs="Times New Roman"/>
          <w:color w:val="000000"/>
          <w:sz w:val="20"/>
          <w:szCs w:val="20"/>
        </w:rPr>
        <w:t>a</w:t>
      </w:r>
      <w:r>
        <w:rPr>
          <w:rFonts w:ascii="Times New Roman" w:hAnsi="Times New Roman" w:cs="Times New Roman"/>
          <w:color w:val="000000"/>
          <w:sz w:val="20"/>
          <w:szCs w:val="20"/>
        </w:rPr>
        <w:t>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See also </w:t>
      </w:r>
      <w:hyperlink r:id="rId261" w:history="1">
        <w:r>
          <w:rPr>
            <w:rFonts w:ascii="Times New Roman" w:hAnsi="Times New Roman" w:cs="Times New Roman"/>
            <w:i/>
            <w:iCs/>
            <w:color w:val="0000FF"/>
            <w:sz w:val="20"/>
            <w:szCs w:val="20"/>
            <w:u w:val="single"/>
          </w:rPr>
          <w:t>Education Assistance Corp. v. Zellner,</w:t>
        </w:r>
      </w:hyperlink>
      <w:hyperlink r:id="rId262" w:history="1">
        <w:r>
          <w:rPr>
            <w:rFonts w:ascii="Times New Roman" w:hAnsi="Times New Roman" w:cs="Times New Roman"/>
            <w:color w:val="0000FF"/>
            <w:sz w:val="20"/>
            <w:szCs w:val="20"/>
            <w:u w:val="single"/>
          </w:rPr>
          <w:t xml:space="preserve"> 827 F.2d 1222, 1226 (C.A.8 1987)</w:t>
        </w:r>
      </w:hyperlink>
      <w:r>
        <w:rPr>
          <w:rFonts w:ascii="Times New Roman" w:hAnsi="Times New Roman" w:cs="Times New Roman"/>
          <w:color w:val="000000"/>
          <w:sz w:val="20"/>
          <w:szCs w:val="20"/>
        </w:rPr>
        <w:t xml:space="preserve"> (affi</w:t>
      </w:r>
      <w:r>
        <w:rPr>
          <w:rFonts w:ascii="Times New Roman" w:hAnsi="Times New Roman" w:cs="Times New Roman"/>
          <w:color w:val="000000"/>
          <w:sz w:val="20"/>
          <w:szCs w:val="20"/>
        </w:rPr>
        <w:t>rming bankruptcy court's excl</w:t>
      </w:r>
      <w:r>
        <w:rPr>
          <w:rFonts w:ascii="Times New Roman" w:hAnsi="Times New Roman" w:cs="Times New Roman"/>
          <w:color w:val="000000"/>
          <w:sz w:val="20"/>
          <w:szCs w:val="20"/>
        </w:rPr>
        <w:t>u</w:t>
      </w:r>
      <w:r>
        <w:rPr>
          <w:rFonts w:ascii="Times New Roman" w:hAnsi="Times New Roman" w:cs="Times New Roman"/>
          <w:color w:val="000000"/>
          <w:sz w:val="20"/>
          <w:szCs w:val="20"/>
        </w:rPr>
        <w:t xml:space="preserve">sion of future tax returns and salary increases from debtor's projected disposable income because they were </w:t>
      </w:r>
      <w:r>
        <w:rPr>
          <w:rFonts w:ascii="Times New Roman" w:hAnsi="Times New Roman" w:cs="Times New Roman"/>
          <w:color w:val="000000"/>
          <w:sz w:val="20"/>
          <w:szCs w:val="20"/>
        </w:rPr>
        <w:t>“</w:t>
      </w:r>
      <w:r>
        <w:rPr>
          <w:rFonts w:ascii="Times New Roman" w:hAnsi="Times New Roman" w:cs="Times New Roman"/>
          <w:color w:val="000000"/>
          <w:sz w:val="20"/>
          <w:szCs w:val="20"/>
        </w:rPr>
        <w:t>sp</w:t>
      </w:r>
      <w:r>
        <w:rPr>
          <w:rFonts w:ascii="Times New Roman" w:hAnsi="Times New Roman" w:cs="Times New Roman"/>
          <w:color w:val="000000"/>
          <w:sz w:val="20"/>
          <w:szCs w:val="20"/>
        </w:rPr>
        <w:t>e</w:t>
      </w:r>
      <w:r>
        <w:rPr>
          <w:rFonts w:ascii="Times New Roman" w:hAnsi="Times New Roman" w:cs="Times New Roman"/>
          <w:color w:val="000000"/>
          <w:sz w:val="20"/>
          <w:szCs w:val="20"/>
        </w:rPr>
        <w:t>culative</w:t>
      </w:r>
      <w:r>
        <w:rPr>
          <w:rFonts w:ascii="Times New Roman" w:hAnsi="Times New Roman" w:cs="Times New Roman"/>
          <w:color w:val="000000"/>
          <w:sz w:val="20"/>
          <w:szCs w:val="20"/>
        </w:rPr>
        <w:t>”</w:t>
      </w:r>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F82022242875" w:history="1">
        <w:r>
          <w:rPr>
            <w:rFonts w:ascii="Times New Roman" w:hAnsi="Times New Roman" w:cs="Times New Roman"/>
            <w:color w:val="0000FF"/>
            <w:sz w:val="20"/>
            <w:szCs w:val="20"/>
            <w:u w:val="single"/>
          </w:rPr>
          <w:t>[8]</w:t>
        </w:r>
      </w:hyperlink>
      <w:bookmarkStart w:id="42" w:name="Document1zzB82022242875"/>
      <w:bookmarkEnd w:id="42"/>
      <w:r>
        <w:rPr>
          <w:rFonts w:ascii="Times New Roman" w:hAnsi="Times New Roman" w:cs="Times New Roman"/>
          <w:color w:val="000000"/>
          <w:sz w:val="20"/>
          <w:szCs w:val="20"/>
        </w:rPr>
        <w:t xml:space="preserve"> Pre-BAPCPA</w:t>
      </w:r>
      <w:r>
        <w:rPr>
          <w:rFonts w:ascii="Times New Roman" w:hAnsi="Times New Roman" w:cs="Times New Roman"/>
          <w:color w:val="000000"/>
          <w:sz w:val="20"/>
          <w:szCs w:val="20"/>
        </w:rPr>
        <w:t xml:space="preserve"> bankruptcy practice is telling b</w:t>
      </w:r>
      <w:r>
        <w:rPr>
          <w:rFonts w:ascii="Times New Roman" w:hAnsi="Times New Roman" w:cs="Times New Roman"/>
          <w:color w:val="000000"/>
          <w:sz w:val="20"/>
          <w:szCs w:val="20"/>
        </w:rPr>
        <w:t>e</w:t>
      </w:r>
      <w:r>
        <w:rPr>
          <w:rFonts w:ascii="Times New Roman" w:hAnsi="Times New Roman" w:cs="Times New Roman"/>
          <w:color w:val="000000"/>
          <w:sz w:val="20"/>
          <w:szCs w:val="20"/>
        </w:rPr>
        <w:t xml:space="preserve">cause we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will not read the Bankruptcy Code to erode past bankruptcy practice absent a clear indic</w:t>
      </w:r>
      <w:r>
        <w:rPr>
          <w:rFonts w:ascii="Times New Roman" w:hAnsi="Times New Roman" w:cs="Times New Roman"/>
          <w:color w:val="000000"/>
          <w:sz w:val="20"/>
          <w:szCs w:val="20"/>
        </w:rPr>
        <w:t>a</w:t>
      </w:r>
      <w:r>
        <w:rPr>
          <w:rFonts w:ascii="Times New Roman" w:hAnsi="Times New Roman" w:cs="Times New Roman"/>
          <w:color w:val="000000"/>
          <w:sz w:val="20"/>
          <w:szCs w:val="20"/>
        </w:rPr>
        <w:t>tion that Congress intended such a departure.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263" w:history="1">
        <w:r>
          <w:rPr>
            <w:rFonts w:ascii="Times New Roman" w:hAnsi="Times New Roman" w:cs="Times New Roman"/>
            <w:i/>
            <w:iCs/>
            <w:color w:val="0000FF"/>
            <w:sz w:val="20"/>
            <w:szCs w:val="20"/>
            <w:u w:val="single"/>
          </w:rPr>
          <w:t>Travelers Casualty &amp; Surety Co. of America v. Pacific Gas &amp; Elec. Co.,</w:t>
        </w:r>
      </w:hyperlink>
      <w:hyperlink r:id="rId264" w:history="1">
        <w:r>
          <w:rPr>
            <w:rFonts w:ascii="Times New Roman" w:hAnsi="Times New Roman" w:cs="Times New Roman"/>
            <w:color w:val="0000FF"/>
            <w:sz w:val="20"/>
            <w:szCs w:val="20"/>
            <w:u w:val="single"/>
          </w:rPr>
          <w:t xml:space="preserve"> 549 U.S. 443, 454, 127 S.Ct. 1199, 167 L.E</w:t>
        </w:r>
        <w:r>
          <w:rPr>
            <w:rFonts w:ascii="Times New Roman" w:hAnsi="Times New Roman" w:cs="Times New Roman"/>
            <w:color w:val="0000FF"/>
            <w:sz w:val="20"/>
            <w:szCs w:val="20"/>
            <w:u w:val="single"/>
          </w:rPr>
          <w:t>d.2d 178 (2007)</w:t>
        </w:r>
      </w:hyperlink>
      <w:r>
        <w:rPr>
          <w:rFonts w:ascii="Times New Roman" w:hAnsi="Times New Roman" w:cs="Times New Roman"/>
          <w:color w:val="000000"/>
          <w:sz w:val="20"/>
          <w:szCs w:val="20"/>
        </w:rPr>
        <w:t xml:space="preserve">; </w:t>
      </w:r>
      <w:hyperlink r:id="rId265" w:history="1">
        <w:r>
          <w:rPr>
            <w:rFonts w:ascii="Times New Roman" w:hAnsi="Times New Roman" w:cs="Times New Roman"/>
            <w:i/>
            <w:iCs/>
            <w:color w:val="0000FF"/>
            <w:sz w:val="20"/>
            <w:szCs w:val="20"/>
            <w:u w:val="single"/>
          </w:rPr>
          <w:t>Lamie v. United States Trustee,</w:t>
        </w:r>
      </w:hyperlink>
      <w:hyperlink r:id="rId266" w:history="1">
        <w:r>
          <w:rPr>
            <w:rFonts w:ascii="Times New Roman" w:hAnsi="Times New Roman" w:cs="Times New Roman"/>
            <w:color w:val="0000FF"/>
            <w:sz w:val="20"/>
            <w:szCs w:val="20"/>
            <w:u w:val="single"/>
          </w:rPr>
          <w:t xml:space="preserve"> 540 U.S. 526, 539, 124 S.Ct. 1023, 157 L.Ed.2d 1024 (2004)</w:t>
        </w:r>
      </w:hyperlink>
      <w:r>
        <w:rPr>
          <w:rFonts w:ascii="Times New Roman" w:hAnsi="Times New Roman" w:cs="Times New Roman"/>
          <w:color w:val="000000"/>
          <w:sz w:val="20"/>
          <w:szCs w:val="20"/>
        </w:rPr>
        <w:t xml:space="preserve">; </w:t>
      </w:r>
      <w:hyperlink r:id="rId267" w:history="1">
        <w:r>
          <w:rPr>
            <w:rFonts w:ascii="Times New Roman" w:hAnsi="Times New Roman" w:cs="Times New Roman"/>
            <w:i/>
            <w:iCs/>
            <w:color w:val="0000FF"/>
            <w:sz w:val="20"/>
            <w:szCs w:val="20"/>
            <w:u w:val="single"/>
          </w:rPr>
          <w:t>Cohen v. de la Cruz,</w:t>
        </w:r>
      </w:hyperlink>
      <w:hyperlink r:id="rId268" w:history="1">
        <w:r>
          <w:rPr>
            <w:rFonts w:ascii="Times New Roman" w:hAnsi="Times New Roman" w:cs="Times New Roman"/>
            <w:color w:val="0000FF"/>
            <w:sz w:val="20"/>
            <w:szCs w:val="20"/>
            <w:u w:val="single"/>
          </w:rPr>
          <w:t xml:space="preserve"> 523 U.S. 213, 221, 118 S.Ct. 1212, 140 L.Ed.2d 341 (1998)</w:t>
        </w:r>
      </w:hyperlink>
      <w:r>
        <w:rPr>
          <w:rFonts w:ascii="Times New Roman" w:hAnsi="Times New Roman" w:cs="Times New Roman"/>
          <w:color w:val="000000"/>
          <w:sz w:val="20"/>
          <w:szCs w:val="20"/>
        </w:rPr>
        <w:t xml:space="preserve">; see also </w:t>
      </w:r>
      <w:hyperlink r:id="rId269" w:history="1">
        <w:r>
          <w:rPr>
            <w:rFonts w:ascii="Times New Roman" w:hAnsi="Times New Roman" w:cs="Times New Roman"/>
            <w:i/>
            <w:iCs/>
            <w:color w:val="0000FF"/>
            <w:sz w:val="20"/>
            <w:szCs w:val="20"/>
            <w:u w:val="single"/>
          </w:rPr>
          <w:t>Grogan v. Garner,</w:t>
        </w:r>
      </w:hyperlink>
      <w:hyperlink r:id="rId270" w:history="1">
        <w:r>
          <w:rPr>
            <w:rFonts w:ascii="Times New Roman" w:hAnsi="Times New Roman" w:cs="Times New Roman"/>
            <w:color w:val="0000FF"/>
            <w:sz w:val="20"/>
            <w:szCs w:val="20"/>
            <w:u w:val="single"/>
          </w:rPr>
          <w:t xml:space="preserve"> 498 U.S. 279, 290, 111 S.Ct. 654, 112 L.Ed.2d 755 (1991)</w:t>
        </w:r>
      </w:hyperlink>
      <w:r>
        <w:rPr>
          <w:rFonts w:ascii="Times New Roman" w:hAnsi="Times New Roman" w:cs="Times New Roman"/>
          <w:color w:val="000000"/>
          <w:sz w:val="20"/>
          <w:szCs w:val="20"/>
        </w:rPr>
        <w:t xml:space="preserve">; </w:t>
      </w:r>
      <w:hyperlink r:id="rId271" w:history="1">
        <w:r>
          <w:rPr>
            <w:rFonts w:ascii="Times New Roman" w:hAnsi="Times New Roman" w:cs="Times New Roman"/>
            <w:i/>
            <w:iCs/>
            <w:color w:val="0000FF"/>
            <w:sz w:val="20"/>
            <w:szCs w:val="20"/>
            <w:u w:val="single"/>
          </w:rPr>
          <w:t>Kelly v. Robinson,</w:t>
        </w:r>
      </w:hyperlink>
      <w:hyperlink r:id="rId272" w:history="1">
        <w:r>
          <w:rPr>
            <w:rFonts w:ascii="Times New Roman" w:hAnsi="Times New Roman" w:cs="Times New Roman"/>
            <w:color w:val="0000FF"/>
            <w:sz w:val="20"/>
            <w:szCs w:val="20"/>
            <w:u w:val="single"/>
          </w:rPr>
          <w:t xml:space="preserve"> 479 U.S. 36, 47, 107 S.Ct. 353, 93 L.Ed.2d 216 (1986)</w:t>
        </w:r>
      </w:hyperlink>
      <w:r>
        <w:rPr>
          <w:rFonts w:ascii="Times New Roman" w:hAnsi="Times New Roman" w:cs="Times New Roman"/>
          <w:color w:val="000000"/>
          <w:sz w:val="20"/>
          <w:szCs w:val="20"/>
        </w:rPr>
        <w:t xml:space="preserve">. Congress did not amend the term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w:t>
      </w:r>
      <w:r>
        <w:rPr>
          <w:rFonts w:ascii="Times New Roman" w:hAnsi="Times New Roman" w:cs="Times New Roman"/>
          <w:color w:val="000000"/>
          <w:sz w:val="20"/>
          <w:szCs w:val="20"/>
        </w:rPr>
        <w:t>a</w:t>
      </w:r>
      <w:r>
        <w:rPr>
          <w:rFonts w:ascii="Times New Roman" w:hAnsi="Times New Roman" w:cs="Times New Roman"/>
          <w:color w:val="000000"/>
          <w:sz w:val="20"/>
          <w:szCs w:val="20"/>
        </w:rPr>
        <w:t>ble inc</w:t>
      </w:r>
      <w:r>
        <w:rPr>
          <w:rFonts w:ascii="Times New Roman" w:hAnsi="Times New Roman" w:cs="Times New Roman"/>
          <w:color w:val="000000"/>
          <w:sz w:val="20"/>
          <w:szCs w:val="20"/>
        </w:rPr>
        <w:t>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2005, and pre-BAPCPA bankruptcy practice reflected a widely acknowledged and well-documented view that courts may take into a</w:t>
      </w:r>
      <w:r>
        <w:rPr>
          <w:rFonts w:ascii="Times New Roman" w:hAnsi="Times New Roman" w:cs="Times New Roman"/>
          <w:color w:val="000000"/>
          <w:sz w:val="20"/>
          <w:szCs w:val="20"/>
        </w:rPr>
        <w:t>c</w:t>
      </w:r>
      <w:r>
        <w:rPr>
          <w:rFonts w:ascii="Times New Roman" w:hAnsi="Times New Roman" w:cs="Times New Roman"/>
          <w:color w:val="000000"/>
          <w:sz w:val="20"/>
          <w:szCs w:val="20"/>
        </w:rPr>
        <w:t>count known or virtually certain changes to debtors' income or expenses when projecting disposable i</w:t>
      </w:r>
      <w:r>
        <w:rPr>
          <w:rFonts w:ascii="Times New Roman" w:hAnsi="Times New Roman" w:cs="Times New Roman"/>
          <w:color w:val="000000"/>
          <w:sz w:val="20"/>
          <w:szCs w:val="20"/>
        </w:rPr>
        <w:t>n</w:t>
      </w:r>
      <w:r>
        <w:rPr>
          <w:rFonts w:ascii="Times New Roman" w:hAnsi="Times New Roman" w:cs="Times New Roman"/>
          <w:color w:val="000000"/>
          <w:sz w:val="20"/>
          <w:szCs w:val="20"/>
        </w:rPr>
        <w:t>come. In light of thi</w:t>
      </w:r>
      <w:r>
        <w:rPr>
          <w:rFonts w:ascii="Times New Roman" w:hAnsi="Times New Roman" w:cs="Times New Roman"/>
          <w:color w:val="000000"/>
          <w:sz w:val="20"/>
          <w:szCs w:val="20"/>
        </w:rPr>
        <w:t xml:space="preserve">s historical practice, we would expect that, had Congress intended for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to carry a specialized-and indeed, unusual-meaning in Chapter 13, Congress would have said so expressly. Cf., </w:t>
      </w:r>
      <w:r>
        <w:rPr>
          <w:rFonts w:ascii="Times New Roman" w:hAnsi="Times New Roman" w:cs="Times New Roman"/>
          <w:i/>
          <w:iCs/>
          <w:color w:val="000000"/>
          <w:sz w:val="20"/>
          <w:szCs w:val="20"/>
        </w:rPr>
        <w:t>e.g.,</w:t>
      </w:r>
      <w:r>
        <w:rPr>
          <w:rFonts w:ascii="Times New Roman" w:hAnsi="Times New Roman" w:cs="Times New Roman"/>
          <w:color w:val="000000"/>
          <w:sz w:val="20"/>
          <w:szCs w:val="20"/>
        </w:rPr>
        <w:t xml:space="preserve"> </w:t>
      </w:r>
      <w:hyperlink r:id="rId273" w:history="1">
        <w:r>
          <w:rPr>
            <w:rFonts w:ascii="Times New Roman" w:hAnsi="Times New Roman" w:cs="Times New Roman"/>
            <w:color w:val="0000FF"/>
            <w:sz w:val="20"/>
            <w:szCs w:val="20"/>
            <w:u w:val="single"/>
          </w:rPr>
          <w:t>26 U.S.C. § 279(c)(3)(A)</w:t>
        </w:r>
      </w:hyperlink>
      <w:r>
        <w:rPr>
          <w:rFonts w:ascii="Times New Roman" w:hAnsi="Times New Roman" w:cs="Times New Roman"/>
          <w:color w:val="000000"/>
          <w:sz w:val="20"/>
          <w:szCs w:val="20"/>
        </w:rPr>
        <w:t xml:space="preserve">, (B) (expressly defining </w:t>
      </w:r>
      <w:r>
        <w:rPr>
          <w:rFonts w:ascii="Times New Roman" w:hAnsi="Times New Roman" w:cs="Times New Roman"/>
          <w:color w:val="000000"/>
          <w:sz w:val="20"/>
          <w:szCs w:val="20"/>
        </w:rPr>
        <w:t>“</w:t>
      </w:r>
      <w:r>
        <w:rPr>
          <w:rFonts w:ascii="Times New Roman" w:hAnsi="Times New Roman" w:cs="Times New Roman"/>
          <w:color w:val="000000"/>
          <w:sz w:val="20"/>
          <w:szCs w:val="20"/>
        </w:rPr>
        <w:t>projected earnings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as reflecting a</w:t>
      </w:r>
      <w:r>
        <w:rPr>
          <w:rFonts w:ascii="Times New Roman" w:hAnsi="Times New Roman" w:cs="Times New Roman"/>
          <w:color w:val="000000"/>
          <w:sz w:val="20"/>
          <w:szCs w:val="20"/>
        </w:rPr>
        <w:t xml:space="preserve"> 3-year historical average).</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B</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*8</w:t>
      </w:r>
      <w:r>
        <w:rPr>
          <w:rFonts w:ascii="Times New Roman" w:hAnsi="Times New Roman" w:cs="Times New Roman"/>
          <w:color w:val="000000"/>
          <w:sz w:val="20"/>
          <w:szCs w:val="20"/>
        </w:rPr>
        <w:t xml:space="preserve"> The mechanical approach also clashes repeatedly with the terms of </w:t>
      </w:r>
      <w:hyperlink r:id="rId274" w:history="1">
        <w:r>
          <w:rPr>
            <w:rFonts w:ascii="Times New Roman" w:hAnsi="Times New Roman" w:cs="Times New Roman"/>
            <w:color w:val="0000FF"/>
            <w:sz w:val="20"/>
            <w:szCs w:val="20"/>
            <w:u w:val="single"/>
          </w:rPr>
          <w:t>11 U.S.C. § 1325</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First, </w:t>
      </w:r>
      <w:hyperlink r:id="rId275" w:history="1">
        <w:r>
          <w:rPr>
            <w:rFonts w:ascii="Times New Roman" w:hAnsi="Times New Roman" w:cs="Times New Roman"/>
            <w:color w:val="0000FF"/>
            <w:sz w:val="20"/>
            <w:szCs w:val="20"/>
            <w:u w:val="single"/>
          </w:rPr>
          <w:t>§ 1325(b)(1)(B)</w:t>
        </w:r>
      </w:hyperlink>
      <w:r>
        <w:rPr>
          <w:rFonts w:ascii="Times New Roman" w:hAnsi="Times New Roman" w:cs="Times New Roman"/>
          <w:color w:val="000000"/>
          <w:sz w:val="20"/>
          <w:szCs w:val="20"/>
        </w:rPr>
        <w:t>'s reference to projected di</w:t>
      </w:r>
      <w:r>
        <w:rPr>
          <w:rFonts w:ascii="Times New Roman" w:hAnsi="Times New Roman" w:cs="Times New Roman"/>
          <w:color w:val="000000"/>
          <w:sz w:val="20"/>
          <w:szCs w:val="20"/>
        </w:rPr>
        <w:t>s</w:t>
      </w:r>
      <w:r>
        <w:rPr>
          <w:rFonts w:ascii="Times New Roman" w:hAnsi="Times New Roman" w:cs="Times New Roman"/>
          <w:color w:val="000000"/>
          <w:sz w:val="20"/>
          <w:szCs w:val="20"/>
        </w:rPr>
        <w:t xml:space="preserve">posable income </w:t>
      </w:r>
      <w:r>
        <w:rPr>
          <w:rFonts w:ascii="Times New Roman" w:hAnsi="Times New Roman" w:cs="Times New Roman"/>
          <w:color w:val="000000"/>
          <w:sz w:val="20"/>
          <w:szCs w:val="20"/>
        </w:rPr>
        <w:t>“</w:t>
      </w:r>
      <w:r>
        <w:rPr>
          <w:rFonts w:ascii="Times New Roman" w:hAnsi="Times New Roman" w:cs="Times New Roman"/>
          <w:color w:val="000000"/>
          <w:sz w:val="20"/>
          <w:szCs w:val="20"/>
        </w:rPr>
        <w:t>to be received in the app</w:t>
      </w:r>
      <w:r>
        <w:rPr>
          <w:rFonts w:ascii="Times New Roman" w:hAnsi="Times New Roman" w:cs="Times New Roman"/>
          <w:color w:val="000000"/>
          <w:sz w:val="20"/>
          <w:szCs w:val="20"/>
        </w:rPr>
        <w:t>licable commitment period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strongly favors the fo</w:t>
      </w:r>
      <w:r>
        <w:rPr>
          <w:rFonts w:ascii="Times New Roman" w:hAnsi="Times New Roman" w:cs="Times New Roman"/>
          <w:color w:val="000000"/>
          <w:sz w:val="20"/>
          <w:szCs w:val="20"/>
        </w:rPr>
        <w:t>r</w:t>
      </w:r>
      <w:r>
        <w:rPr>
          <w:rFonts w:ascii="Times New Roman" w:hAnsi="Times New Roman" w:cs="Times New Roman"/>
          <w:color w:val="000000"/>
          <w:sz w:val="20"/>
          <w:szCs w:val="20"/>
        </w:rPr>
        <w:lastRenderedPageBreak/>
        <w:t>ward-looking approach. There is no dispute that re</w:t>
      </w:r>
      <w:r>
        <w:rPr>
          <w:rFonts w:ascii="Times New Roman" w:hAnsi="Times New Roman" w:cs="Times New Roman"/>
          <w:color w:val="000000"/>
          <w:sz w:val="20"/>
          <w:szCs w:val="20"/>
        </w:rPr>
        <w:t>s</w:t>
      </w:r>
      <w:r>
        <w:rPr>
          <w:rFonts w:ascii="Times New Roman" w:hAnsi="Times New Roman" w:cs="Times New Roman"/>
          <w:color w:val="000000"/>
          <w:sz w:val="20"/>
          <w:szCs w:val="20"/>
        </w:rPr>
        <w:t>pondent would in fact receive far less than $756 per month in disposable income during the plan period, so petitioner's projection does not accurately refl</w:t>
      </w:r>
      <w:r>
        <w:rPr>
          <w:rFonts w:ascii="Times New Roman" w:hAnsi="Times New Roman" w:cs="Times New Roman"/>
          <w:color w:val="000000"/>
          <w:sz w:val="20"/>
          <w:szCs w:val="20"/>
        </w:rPr>
        <w:t xml:space="preserve">ect </w:t>
      </w:r>
      <w:r>
        <w:rPr>
          <w:rFonts w:ascii="Times New Roman" w:hAnsi="Times New Roman" w:cs="Times New Roman"/>
          <w:color w:val="000000"/>
          <w:sz w:val="20"/>
          <w:szCs w:val="20"/>
        </w:rPr>
        <w:t>“</w:t>
      </w:r>
      <w:r>
        <w:rPr>
          <w:rFonts w:ascii="Times New Roman" w:hAnsi="Times New Roman" w:cs="Times New Roman"/>
          <w:color w:val="000000"/>
          <w:sz w:val="20"/>
          <w:szCs w:val="20"/>
        </w:rPr>
        <w:t>income to be received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during that period. See </w:t>
      </w:r>
      <w:hyperlink r:id="rId276" w:history="1">
        <w:r>
          <w:rPr>
            <w:rFonts w:ascii="Times New Roman" w:hAnsi="Times New Roman" w:cs="Times New Roman"/>
            <w:i/>
            <w:iCs/>
            <w:color w:val="0000FF"/>
            <w:sz w:val="20"/>
            <w:szCs w:val="20"/>
            <w:u w:val="single"/>
          </w:rPr>
          <w:t>In re Nowlin,</w:t>
        </w:r>
      </w:hyperlink>
      <w:hyperlink r:id="rId277" w:history="1">
        <w:r>
          <w:rPr>
            <w:rFonts w:ascii="Times New Roman" w:hAnsi="Times New Roman" w:cs="Times New Roman"/>
            <w:color w:val="0000FF"/>
            <w:sz w:val="20"/>
            <w:szCs w:val="20"/>
            <w:u w:val="single"/>
          </w:rPr>
          <w:t xml:space="preserve"> 576 F.3d 258, 263 (C.A.5 2009)</w:t>
        </w:r>
      </w:hyperlink>
      <w:r>
        <w:rPr>
          <w:rFonts w:ascii="Times New Roman" w:hAnsi="Times New Roman" w:cs="Times New Roman"/>
          <w:color w:val="000000"/>
          <w:sz w:val="20"/>
          <w:szCs w:val="20"/>
        </w:rPr>
        <w:t>. The m</w:t>
      </w:r>
      <w:r>
        <w:rPr>
          <w:rFonts w:ascii="Times New Roman" w:hAnsi="Times New Roman" w:cs="Times New Roman"/>
          <w:color w:val="000000"/>
          <w:sz w:val="20"/>
          <w:szCs w:val="20"/>
        </w:rPr>
        <w:t>e</w:t>
      </w:r>
      <w:r>
        <w:rPr>
          <w:rFonts w:ascii="Times New Roman" w:hAnsi="Times New Roman" w:cs="Times New Roman"/>
          <w:color w:val="000000"/>
          <w:sz w:val="20"/>
          <w:szCs w:val="20"/>
        </w:rPr>
        <w:t>chanical approach effectively reads this phrase out of the statute when a debtor's current disposa</w:t>
      </w:r>
      <w:r>
        <w:rPr>
          <w:rFonts w:ascii="Times New Roman" w:hAnsi="Times New Roman" w:cs="Times New Roman"/>
          <w:color w:val="000000"/>
          <w:sz w:val="20"/>
          <w:szCs w:val="20"/>
        </w:rPr>
        <w:t xml:space="preserve">ble income is substantially higher than the income that the debtor predictably will receive during the plan period. See </w:t>
      </w:r>
      <w:hyperlink r:id="rId278" w:history="1">
        <w:r>
          <w:rPr>
            <w:rFonts w:ascii="Times New Roman" w:hAnsi="Times New Roman" w:cs="Times New Roman"/>
            <w:i/>
            <w:iCs/>
            <w:color w:val="0000FF"/>
            <w:sz w:val="20"/>
            <w:szCs w:val="20"/>
            <w:u w:val="single"/>
          </w:rPr>
          <w:t>Kawaauhau v. Geiger,</w:t>
        </w:r>
      </w:hyperlink>
      <w:hyperlink r:id="rId279" w:history="1">
        <w:r>
          <w:rPr>
            <w:rFonts w:ascii="Times New Roman" w:hAnsi="Times New Roman" w:cs="Times New Roman"/>
            <w:color w:val="0000FF"/>
            <w:sz w:val="20"/>
            <w:szCs w:val="20"/>
            <w:u w:val="single"/>
          </w:rPr>
          <w:t xml:space="preserve"> 523 U.S. 57, 62, 118 S.Ct. 974, 140 L.Ed.2d 90 (1998)</w:t>
        </w:r>
      </w:hyperlink>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[W]e are hesitant to adopt an interpretation of a congressional enactment which renders superfluo</w:t>
      </w:r>
      <w:r>
        <w:rPr>
          <w:rFonts w:ascii="Times New Roman" w:hAnsi="Times New Roman" w:cs="Times New Roman"/>
          <w:color w:val="000000"/>
          <w:sz w:val="20"/>
          <w:szCs w:val="20"/>
        </w:rPr>
        <w:t>us another portion of that same law</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(internal quotation marks omitted)).</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F92022242875" w:history="1">
        <w:r>
          <w:rPr>
            <w:rFonts w:ascii="Times New Roman" w:hAnsi="Times New Roman" w:cs="Times New Roman"/>
            <w:color w:val="0000FF"/>
            <w:sz w:val="20"/>
            <w:szCs w:val="20"/>
            <w:u w:val="single"/>
          </w:rPr>
          <w:t>[9]</w:t>
        </w:r>
      </w:hyperlink>
      <w:bookmarkStart w:id="43" w:name="Document1zzB92022242875"/>
      <w:bookmarkEnd w:id="43"/>
      <w:r>
        <w:rPr>
          <w:rFonts w:ascii="Times New Roman" w:hAnsi="Times New Roman" w:cs="Times New Roman"/>
          <w:color w:val="000000"/>
          <w:sz w:val="20"/>
          <w:szCs w:val="20"/>
        </w:rPr>
        <w:t xml:space="preserve"> Second, </w:t>
      </w:r>
      <w:hyperlink r:id="rId280" w:history="1">
        <w:r>
          <w:rPr>
            <w:rFonts w:ascii="Times New Roman" w:hAnsi="Times New Roman" w:cs="Times New Roman"/>
            <w:color w:val="0000FF"/>
            <w:sz w:val="20"/>
            <w:szCs w:val="20"/>
            <w:u w:val="single"/>
          </w:rPr>
          <w:t>§ 1325(b)(1)</w:t>
        </w:r>
      </w:hyperlink>
      <w:r>
        <w:rPr>
          <w:rFonts w:ascii="Times New Roman" w:hAnsi="Times New Roman" w:cs="Times New Roman"/>
          <w:color w:val="000000"/>
          <w:sz w:val="20"/>
          <w:szCs w:val="20"/>
        </w:rPr>
        <w:t xml:space="preserve"> directs courts to determine projected disposable income </w:t>
      </w:r>
      <w:r>
        <w:rPr>
          <w:rFonts w:ascii="Times New Roman" w:hAnsi="Times New Roman" w:cs="Times New Roman"/>
          <w:color w:val="000000"/>
          <w:sz w:val="20"/>
          <w:szCs w:val="20"/>
        </w:rPr>
        <w:t>“</w:t>
      </w:r>
      <w:r>
        <w:rPr>
          <w:rFonts w:ascii="Times New Roman" w:hAnsi="Times New Roman" w:cs="Times New Roman"/>
          <w:color w:val="000000"/>
          <w:sz w:val="20"/>
          <w:szCs w:val="20"/>
        </w:rPr>
        <w:t>as of the effective date of the plan,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which is the date on which the plan is confirmed and becom</w:t>
      </w:r>
      <w:r>
        <w:rPr>
          <w:rFonts w:ascii="Times New Roman" w:hAnsi="Times New Roman" w:cs="Times New Roman"/>
          <w:color w:val="000000"/>
          <w:sz w:val="20"/>
          <w:szCs w:val="20"/>
        </w:rPr>
        <w:t xml:space="preserve">es binding, see </w:t>
      </w:r>
      <w:hyperlink r:id="rId281" w:history="1">
        <w:r>
          <w:rPr>
            <w:rFonts w:ascii="Times New Roman" w:hAnsi="Times New Roman" w:cs="Times New Roman"/>
            <w:color w:val="0000FF"/>
            <w:sz w:val="20"/>
            <w:szCs w:val="20"/>
            <w:u w:val="single"/>
          </w:rPr>
          <w:t>§ 1327(a)</w:t>
        </w:r>
      </w:hyperlink>
      <w:r>
        <w:rPr>
          <w:rFonts w:ascii="Times New Roman" w:hAnsi="Times New Roman" w:cs="Times New Roman"/>
          <w:color w:val="000000"/>
          <w:sz w:val="20"/>
          <w:szCs w:val="20"/>
        </w:rPr>
        <w:t>. Had Congress intended for projected disposable income to b</w:t>
      </w:r>
      <w:r>
        <w:rPr>
          <w:rFonts w:ascii="Times New Roman" w:hAnsi="Times New Roman" w:cs="Times New Roman"/>
          <w:color w:val="000000"/>
          <w:sz w:val="20"/>
          <w:szCs w:val="20"/>
        </w:rPr>
        <w:t xml:space="preserve">e nothing more than a multiple of disposable income in all cases, we see no reason why Congress would not have required courts to determine that value as of the </w:t>
      </w:r>
      <w:r>
        <w:rPr>
          <w:rFonts w:ascii="Times New Roman" w:hAnsi="Times New Roman" w:cs="Times New Roman"/>
          <w:i/>
          <w:iCs/>
          <w:color w:val="000000"/>
          <w:sz w:val="20"/>
          <w:szCs w:val="20"/>
        </w:rPr>
        <w:t>filing</w:t>
      </w:r>
      <w:r>
        <w:rPr>
          <w:rFonts w:ascii="Times New Roman" w:hAnsi="Times New Roman" w:cs="Times New Roman"/>
          <w:color w:val="000000"/>
          <w:sz w:val="20"/>
          <w:szCs w:val="20"/>
        </w:rPr>
        <w:t xml:space="preserve"> date of the plan. See </w:t>
      </w:r>
      <w:hyperlink r:id="rId282" w:history="1">
        <w:r>
          <w:rPr>
            <w:rFonts w:ascii="Times New Roman" w:hAnsi="Times New Roman" w:cs="Times New Roman"/>
            <w:color w:val="0000FF"/>
            <w:sz w:val="20"/>
            <w:szCs w:val="20"/>
            <w:u w:val="single"/>
          </w:rPr>
          <w:t>Fed. Rule Bkrtcy. Proc. 3015(b)</w:t>
        </w:r>
      </w:hyperlink>
      <w:r>
        <w:rPr>
          <w:rFonts w:ascii="Times New Roman" w:hAnsi="Times New Roman" w:cs="Times New Roman"/>
          <w:color w:val="000000"/>
          <w:sz w:val="20"/>
          <w:szCs w:val="20"/>
        </w:rPr>
        <w:t xml:space="preserve"> (requiring that a plan be filed within 14 days of the filing of a petition), online at http:// www.uscourts.gov/RulesAndPolicies</w:t>
      </w:r>
      <w:r>
        <w:rPr>
          <w:rFonts w:ascii="Times New Roman" w:hAnsi="Times New Roman" w:cs="Times New Roman"/>
          <w:color w:val="000000"/>
          <w:sz w:val="20"/>
          <w:szCs w:val="20"/>
        </w:rPr>
        <w:t>/FederalRulemaking/Overview/BankruptcyRules.aspx (all Internet materials as visited June 3, 2010, and available in Clerk of Court's case file). In the very next section of the Code, for example, Congress specified that a debtor shall commence pa</w:t>
      </w:r>
      <w:r>
        <w:rPr>
          <w:rFonts w:ascii="Times New Roman" w:hAnsi="Times New Roman" w:cs="Times New Roman"/>
          <w:color w:val="000000"/>
          <w:sz w:val="20"/>
          <w:szCs w:val="20"/>
        </w:rPr>
        <w:t>y</w:t>
      </w:r>
      <w:r>
        <w:rPr>
          <w:rFonts w:ascii="Times New Roman" w:hAnsi="Times New Roman" w:cs="Times New Roman"/>
          <w:color w:val="000000"/>
          <w:sz w:val="20"/>
          <w:szCs w:val="20"/>
        </w:rPr>
        <w:t xml:space="preserve">ments </w:t>
      </w:r>
      <w:r>
        <w:rPr>
          <w:rFonts w:ascii="Times New Roman" w:hAnsi="Times New Roman" w:cs="Times New Roman"/>
          <w:color w:val="000000"/>
          <w:sz w:val="20"/>
          <w:szCs w:val="20"/>
        </w:rPr>
        <w:t>“</w:t>
      </w:r>
      <w:r>
        <w:rPr>
          <w:rFonts w:ascii="Times New Roman" w:hAnsi="Times New Roman" w:cs="Times New Roman"/>
          <w:color w:val="000000"/>
          <w:sz w:val="20"/>
          <w:szCs w:val="20"/>
        </w:rPr>
        <w:t>not</w:t>
      </w:r>
      <w:r>
        <w:rPr>
          <w:rFonts w:ascii="Times New Roman" w:hAnsi="Times New Roman" w:cs="Times New Roman"/>
          <w:color w:val="000000"/>
          <w:sz w:val="20"/>
          <w:szCs w:val="20"/>
        </w:rPr>
        <w:t xml:space="preserve"> later than 30 days after the </w:t>
      </w:r>
      <w:r>
        <w:rPr>
          <w:rFonts w:ascii="Times New Roman" w:hAnsi="Times New Roman" w:cs="Times New Roman"/>
          <w:i/>
          <w:iCs/>
          <w:color w:val="000000"/>
          <w:sz w:val="20"/>
          <w:szCs w:val="20"/>
        </w:rPr>
        <w:t>date of the filing of the plan</w:t>
      </w:r>
      <w:r>
        <w:rPr>
          <w:rFonts w:ascii="Times New Roman" w:hAnsi="Times New Roman" w:cs="Times New Roman"/>
          <w:color w:val="000000"/>
          <w:sz w:val="20"/>
          <w:szCs w:val="20"/>
        </w:rPr>
        <w:t>.</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 1326(a)(1) (emphasis added). Congress' decision to require courts to mea</w:t>
      </w:r>
      <w:r>
        <w:rPr>
          <w:rFonts w:ascii="Times New Roman" w:hAnsi="Times New Roman" w:cs="Times New Roman"/>
          <w:color w:val="000000"/>
          <w:sz w:val="20"/>
          <w:szCs w:val="20"/>
        </w:rPr>
        <w:t>s</w:t>
      </w:r>
      <w:r>
        <w:rPr>
          <w:rFonts w:ascii="Times New Roman" w:hAnsi="Times New Roman" w:cs="Times New Roman"/>
          <w:color w:val="000000"/>
          <w:sz w:val="20"/>
          <w:szCs w:val="20"/>
        </w:rPr>
        <w:t xml:space="preserve">ure projected disposable income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as of the </w:t>
      </w:r>
      <w:r>
        <w:rPr>
          <w:rFonts w:ascii="Times New Roman" w:hAnsi="Times New Roman" w:cs="Times New Roman"/>
          <w:i/>
          <w:iCs/>
          <w:color w:val="000000"/>
          <w:sz w:val="20"/>
          <w:szCs w:val="20"/>
        </w:rPr>
        <w:t>effective</w:t>
      </w:r>
      <w:r>
        <w:rPr>
          <w:rFonts w:ascii="Times New Roman" w:hAnsi="Times New Roman" w:cs="Times New Roman"/>
          <w:color w:val="000000"/>
          <w:sz w:val="20"/>
          <w:szCs w:val="20"/>
        </w:rPr>
        <w:t xml:space="preserve"> date of the plan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is more consistent with the view that Congress </w:t>
      </w:r>
      <w:r>
        <w:rPr>
          <w:rFonts w:ascii="Times New Roman" w:hAnsi="Times New Roman" w:cs="Times New Roman"/>
          <w:color w:val="000000"/>
          <w:sz w:val="20"/>
          <w:szCs w:val="20"/>
        </w:rPr>
        <w:t>expected courts to co</w:t>
      </w:r>
      <w:r>
        <w:rPr>
          <w:rFonts w:ascii="Times New Roman" w:hAnsi="Times New Roman" w:cs="Times New Roman"/>
          <w:color w:val="000000"/>
          <w:sz w:val="20"/>
          <w:szCs w:val="20"/>
        </w:rPr>
        <w:t>n</w:t>
      </w:r>
      <w:r>
        <w:rPr>
          <w:rFonts w:ascii="Times New Roman" w:hAnsi="Times New Roman" w:cs="Times New Roman"/>
          <w:color w:val="000000"/>
          <w:sz w:val="20"/>
          <w:szCs w:val="20"/>
        </w:rPr>
        <w:t>sider postfiling information about the debtor's fina</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cial circumstances. See </w:t>
      </w:r>
      <w:hyperlink r:id="rId283" w:history="1">
        <w:r>
          <w:rPr>
            <w:rFonts w:ascii="Times New Roman" w:hAnsi="Times New Roman" w:cs="Times New Roman"/>
            <w:color w:val="0000FF"/>
            <w:sz w:val="20"/>
            <w:szCs w:val="20"/>
            <w:u w:val="single"/>
          </w:rPr>
          <w:t xml:space="preserve">545 </w:t>
        </w:r>
        <w:r>
          <w:rPr>
            <w:rFonts w:ascii="Times New Roman" w:hAnsi="Times New Roman" w:cs="Times New Roman"/>
            <w:color w:val="0000FF"/>
            <w:sz w:val="20"/>
            <w:szCs w:val="20"/>
            <w:u w:val="single"/>
          </w:rPr>
          <w:t>F.3d, at 1279</w:t>
        </w:r>
      </w:hyperlink>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[D]etermining whether or not a debtor has commi</w:t>
      </w:r>
      <w:r>
        <w:rPr>
          <w:rFonts w:ascii="Times New Roman" w:hAnsi="Times New Roman" w:cs="Times New Roman"/>
          <w:color w:val="000000"/>
          <w:sz w:val="20"/>
          <w:szCs w:val="20"/>
        </w:rPr>
        <w:t>t</w:t>
      </w:r>
      <w:r>
        <w:rPr>
          <w:rFonts w:ascii="Times New Roman" w:hAnsi="Times New Roman" w:cs="Times New Roman"/>
          <w:color w:val="000000"/>
          <w:sz w:val="20"/>
          <w:szCs w:val="20"/>
        </w:rPr>
        <w:t xml:space="preserve">ted all projected disposable income to repayment of the unsecured creditors </w:t>
      </w:r>
      <w:r>
        <w:rPr>
          <w:rFonts w:ascii="Times New Roman" w:hAnsi="Times New Roman" w:cs="Times New Roman"/>
          <w:color w:val="000000"/>
          <w:sz w:val="20"/>
          <w:szCs w:val="20"/>
        </w:rPr>
        <w:t>‘</w:t>
      </w:r>
      <w:r>
        <w:rPr>
          <w:rFonts w:ascii="Times New Roman" w:hAnsi="Times New Roman" w:cs="Times New Roman"/>
          <w:color w:val="000000"/>
          <w:sz w:val="20"/>
          <w:szCs w:val="20"/>
        </w:rPr>
        <w:t>as of the effective date of the plan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suggests consideration of the debtor's actual financial circumstances as o</w:t>
      </w:r>
      <w:r>
        <w:rPr>
          <w:rFonts w:ascii="Times New Roman" w:hAnsi="Times New Roman" w:cs="Times New Roman"/>
          <w:color w:val="000000"/>
          <w:sz w:val="20"/>
          <w:szCs w:val="20"/>
        </w:rPr>
        <w:t>f the effective date of the plan</w:t>
      </w:r>
      <w:r>
        <w:rPr>
          <w:rFonts w:ascii="Times New Roman" w:hAnsi="Times New Roman" w:cs="Times New Roman"/>
          <w:color w:val="000000"/>
          <w:sz w:val="20"/>
          <w:szCs w:val="20"/>
        </w:rPr>
        <w:t>”</w:t>
      </w:r>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Third, the requirement that projected disposable i</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come </w:t>
      </w:r>
      <w:r>
        <w:rPr>
          <w:rFonts w:ascii="Times New Roman" w:hAnsi="Times New Roman" w:cs="Times New Roman"/>
          <w:color w:val="000000"/>
          <w:sz w:val="20"/>
          <w:szCs w:val="20"/>
        </w:rPr>
        <w:t>“</w:t>
      </w:r>
      <w:r>
        <w:rPr>
          <w:rFonts w:ascii="Times New Roman" w:hAnsi="Times New Roman" w:cs="Times New Roman"/>
          <w:color w:val="000000"/>
          <w:sz w:val="20"/>
          <w:szCs w:val="20"/>
        </w:rPr>
        <w:t>will be applied to make payments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is most naturally read to contemplate that the debtor will a</w:t>
      </w:r>
      <w:r>
        <w:rPr>
          <w:rFonts w:ascii="Times New Roman" w:hAnsi="Times New Roman" w:cs="Times New Roman"/>
          <w:color w:val="000000"/>
          <w:sz w:val="20"/>
          <w:szCs w:val="20"/>
        </w:rPr>
        <w:t>c</w:t>
      </w:r>
      <w:r>
        <w:rPr>
          <w:rFonts w:ascii="Times New Roman" w:hAnsi="Times New Roman" w:cs="Times New Roman"/>
          <w:color w:val="000000"/>
          <w:sz w:val="20"/>
          <w:szCs w:val="20"/>
        </w:rPr>
        <w:t xml:space="preserve">tually pay creditors in the calculated monthly </w:t>
      </w:r>
      <w:r>
        <w:rPr>
          <w:rFonts w:ascii="Times New Roman" w:hAnsi="Times New Roman" w:cs="Times New Roman"/>
          <w:color w:val="000000"/>
          <w:sz w:val="20"/>
          <w:szCs w:val="20"/>
        </w:rPr>
        <w:lastRenderedPageBreak/>
        <w:t xml:space="preserve">amounts. </w:t>
      </w:r>
      <w:hyperlink r:id="rId284" w:history="1">
        <w:r>
          <w:rPr>
            <w:rFonts w:ascii="Times New Roman" w:hAnsi="Times New Roman" w:cs="Times New Roman"/>
            <w:color w:val="0000FF"/>
            <w:sz w:val="20"/>
            <w:szCs w:val="20"/>
            <w:u w:val="single"/>
          </w:rPr>
          <w:t>§ 1325(b)(1)(B)</w:t>
        </w:r>
      </w:hyperlink>
      <w:r>
        <w:rPr>
          <w:rFonts w:ascii="Times New Roman" w:hAnsi="Times New Roman" w:cs="Times New Roman"/>
          <w:color w:val="000000"/>
          <w:sz w:val="20"/>
          <w:szCs w:val="20"/>
        </w:rPr>
        <w:t>. But when, as of the effe</w:t>
      </w:r>
      <w:r>
        <w:rPr>
          <w:rFonts w:ascii="Times New Roman" w:hAnsi="Times New Roman" w:cs="Times New Roman"/>
          <w:color w:val="000000"/>
          <w:sz w:val="20"/>
          <w:szCs w:val="20"/>
        </w:rPr>
        <w:t>c</w:t>
      </w:r>
      <w:r>
        <w:rPr>
          <w:rFonts w:ascii="Times New Roman" w:hAnsi="Times New Roman" w:cs="Times New Roman"/>
          <w:color w:val="000000"/>
          <w:sz w:val="20"/>
          <w:szCs w:val="20"/>
        </w:rPr>
        <w:t xml:space="preserve">tive date of a plan, the debtor lacks the means to do </w:t>
      </w:r>
      <w:r>
        <w:rPr>
          <w:rFonts w:ascii="Times New Roman" w:hAnsi="Times New Roman" w:cs="Times New Roman"/>
          <w:color w:val="000000"/>
          <w:sz w:val="20"/>
          <w:szCs w:val="20"/>
        </w:rPr>
        <w:t>so, this language is rendered a hollow command.</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C</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*9</w:t>
      </w:r>
      <w:r>
        <w:rPr>
          <w:rFonts w:ascii="Times New Roman" w:hAnsi="Times New Roman" w:cs="Times New Roman"/>
          <w:color w:val="000000"/>
          <w:sz w:val="20"/>
          <w:szCs w:val="20"/>
        </w:rPr>
        <w:t xml:space="preserve"> </w:t>
      </w:r>
      <w:hyperlink w:anchor="Document1zzF102022242875" w:history="1">
        <w:r>
          <w:rPr>
            <w:rFonts w:ascii="Times New Roman" w:hAnsi="Times New Roman" w:cs="Times New Roman"/>
            <w:color w:val="0000FF"/>
            <w:sz w:val="20"/>
            <w:szCs w:val="20"/>
            <w:u w:val="single"/>
          </w:rPr>
          <w:t>[10]</w:t>
        </w:r>
      </w:hyperlink>
      <w:bookmarkStart w:id="44" w:name="Document1zzB102022242875"/>
      <w:bookmarkEnd w:id="44"/>
      <w:r>
        <w:rPr>
          <w:rFonts w:ascii="Times New Roman" w:hAnsi="Times New Roman" w:cs="Times New Roman"/>
          <w:color w:val="000000"/>
          <w:sz w:val="20"/>
          <w:szCs w:val="20"/>
        </w:rPr>
        <w:t xml:space="preserve"> The arguments advanced in favor of the m</w:t>
      </w:r>
      <w:r>
        <w:rPr>
          <w:rFonts w:ascii="Times New Roman" w:hAnsi="Times New Roman" w:cs="Times New Roman"/>
          <w:color w:val="000000"/>
          <w:sz w:val="20"/>
          <w:szCs w:val="20"/>
        </w:rPr>
        <w:t>e</w:t>
      </w:r>
      <w:r>
        <w:rPr>
          <w:rFonts w:ascii="Times New Roman" w:hAnsi="Times New Roman" w:cs="Times New Roman"/>
          <w:color w:val="000000"/>
          <w:sz w:val="20"/>
          <w:szCs w:val="20"/>
        </w:rPr>
        <w:t>chanical approach are unpersuasive. Noting that the Code now prov</w:t>
      </w:r>
      <w:r>
        <w:rPr>
          <w:rFonts w:ascii="Times New Roman" w:hAnsi="Times New Roman" w:cs="Times New Roman"/>
          <w:color w:val="000000"/>
          <w:sz w:val="20"/>
          <w:szCs w:val="20"/>
        </w:rPr>
        <w:t xml:space="preserve">ides a detailed and precise definition of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proponents of the mechanical approach maintain that any departure from this m</w:t>
      </w:r>
      <w:r>
        <w:rPr>
          <w:rFonts w:ascii="Times New Roman" w:hAnsi="Times New Roman" w:cs="Times New Roman"/>
          <w:color w:val="000000"/>
          <w:sz w:val="20"/>
          <w:szCs w:val="20"/>
        </w:rPr>
        <w:t>e</w:t>
      </w:r>
      <w:r>
        <w:rPr>
          <w:rFonts w:ascii="Times New Roman" w:hAnsi="Times New Roman" w:cs="Times New Roman"/>
          <w:color w:val="000000"/>
          <w:sz w:val="20"/>
          <w:szCs w:val="20"/>
        </w:rPr>
        <w:t xml:space="preserve">thod leaves that definition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with no apparent pu</w:t>
      </w:r>
      <w:r>
        <w:rPr>
          <w:rFonts w:ascii="Times New Roman" w:hAnsi="Times New Roman" w:cs="Times New Roman"/>
          <w:color w:val="000000"/>
          <w:sz w:val="20"/>
          <w:szCs w:val="20"/>
        </w:rPr>
        <w:t>r</w:t>
      </w:r>
      <w:r>
        <w:rPr>
          <w:rFonts w:ascii="Times New Roman" w:hAnsi="Times New Roman" w:cs="Times New Roman"/>
          <w:color w:val="000000"/>
          <w:sz w:val="20"/>
          <w:szCs w:val="20"/>
        </w:rPr>
        <w:t>pose.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285" w:history="1">
        <w:r>
          <w:rPr>
            <w:rFonts w:ascii="Times New Roman" w:hAnsi="Times New Roman" w:cs="Times New Roman"/>
            <w:i/>
            <w:iCs/>
            <w:color w:val="0000FF"/>
            <w:sz w:val="20"/>
            <w:szCs w:val="20"/>
            <w:u w:val="single"/>
          </w:rPr>
          <w:t>In re Kagenveama,</w:t>
        </w:r>
      </w:hyperlink>
      <w:hyperlink r:id="rId286" w:history="1">
        <w:r>
          <w:rPr>
            <w:rFonts w:ascii="Times New Roman" w:hAnsi="Times New Roman" w:cs="Times New Roman"/>
            <w:color w:val="0000FF"/>
            <w:sz w:val="20"/>
            <w:szCs w:val="20"/>
            <w:u w:val="single"/>
          </w:rPr>
          <w:t xml:space="preserve"> 541 F.3d 868, 873 (C.A.9 2008)</w:t>
        </w:r>
      </w:hyperlink>
      <w:r>
        <w:rPr>
          <w:rFonts w:ascii="Times New Roman" w:hAnsi="Times New Roman" w:cs="Times New Roman"/>
          <w:color w:val="000000"/>
          <w:sz w:val="20"/>
          <w:szCs w:val="20"/>
        </w:rPr>
        <w:t xml:space="preserve">. This argument overlooks the important role that the statutory formula for calculating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plays under the forward-looking approach. As the Tenth Circuit recognized in this case, a court takin</w:t>
      </w:r>
      <w:r>
        <w:rPr>
          <w:rFonts w:ascii="Times New Roman" w:hAnsi="Times New Roman" w:cs="Times New Roman"/>
          <w:color w:val="000000"/>
          <w:sz w:val="20"/>
          <w:szCs w:val="20"/>
        </w:rPr>
        <w:t xml:space="preserve">g the forward-looking approach should begin by calculating disposable income, and in most cases, nothing more is required. It is only in unusual cases that a court may go further and take into account other known or virtually certain information about the </w:t>
      </w:r>
      <w:r>
        <w:rPr>
          <w:rFonts w:ascii="Times New Roman" w:hAnsi="Times New Roman" w:cs="Times New Roman"/>
          <w:color w:val="000000"/>
          <w:sz w:val="20"/>
          <w:szCs w:val="20"/>
        </w:rPr>
        <w:t>debtor's future income or e</w:t>
      </w:r>
      <w:r>
        <w:rPr>
          <w:rFonts w:ascii="Times New Roman" w:hAnsi="Times New Roman" w:cs="Times New Roman"/>
          <w:color w:val="000000"/>
          <w:sz w:val="20"/>
          <w:szCs w:val="20"/>
        </w:rPr>
        <w:t>x</w:t>
      </w:r>
      <w:r>
        <w:rPr>
          <w:rFonts w:ascii="Times New Roman" w:hAnsi="Times New Roman" w:cs="Times New Roman"/>
          <w:color w:val="000000"/>
          <w:sz w:val="20"/>
          <w:szCs w:val="20"/>
        </w:rPr>
        <w:t>penses.</w:t>
      </w:r>
      <w:hyperlink w:anchor="Document1zzB00652022242875" w:history="1">
        <w:r>
          <w:rPr>
            <w:rFonts w:ascii="Times New Roman" w:hAnsi="Times New Roman" w:cs="Times New Roman"/>
            <w:color w:val="0000FF"/>
            <w:sz w:val="20"/>
            <w:szCs w:val="20"/>
            <w:u w:val="single"/>
            <w:vertAlign w:val="superscript"/>
          </w:rPr>
          <w:t>FN5</w:t>
        </w:r>
      </w:hyperlink>
      <w:bookmarkStart w:id="45" w:name="Document1zzF00652022242875"/>
      <w:bookmarkEnd w:id="45"/>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ind w:left="720"/>
        <w:jc w:val="both"/>
        <w:rPr>
          <w:rFonts w:ascii="Times New Roman" w:hAnsi="Times New Roman" w:cs="Times New Roman"/>
          <w:color w:val="000000"/>
          <w:sz w:val="24"/>
          <w:szCs w:val="24"/>
        </w:rPr>
      </w:pPr>
      <w:hyperlink w:anchor="Document1zzF00652022242875" w:history="1">
        <w:r>
          <w:rPr>
            <w:rFonts w:ascii="Times New Roman" w:hAnsi="Times New Roman" w:cs="Times New Roman"/>
            <w:color w:val="0000FF"/>
            <w:sz w:val="20"/>
            <w:szCs w:val="20"/>
            <w:u w:val="single"/>
          </w:rPr>
          <w:t>FN5.</w:t>
        </w:r>
      </w:hyperlink>
      <w:bookmarkStart w:id="46" w:name="Document1zzB00652022242875"/>
      <w:bookmarkEnd w:id="46"/>
      <w:r>
        <w:rPr>
          <w:rFonts w:ascii="Times New Roman" w:hAnsi="Times New Roman" w:cs="Times New Roman"/>
          <w:color w:val="000000"/>
          <w:sz w:val="20"/>
          <w:szCs w:val="20"/>
        </w:rPr>
        <w:t xml:space="preserve"> For the same reason</w:t>
      </w:r>
      <w:r>
        <w:rPr>
          <w:rFonts w:ascii="Times New Roman" w:hAnsi="Times New Roman" w:cs="Times New Roman"/>
          <w:color w:val="000000"/>
          <w:sz w:val="20"/>
          <w:szCs w:val="20"/>
        </w:rPr>
        <w:t xml:space="preserve">, the phrase </w:t>
      </w:r>
      <w:r>
        <w:rPr>
          <w:rFonts w:ascii="Times New Roman" w:hAnsi="Times New Roman" w:cs="Times New Roman"/>
          <w:color w:val="000000"/>
          <w:sz w:val="20"/>
          <w:szCs w:val="20"/>
        </w:rPr>
        <w:t>“</w:t>
      </w:r>
      <w:r>
        <w:rPr>
          <w:rFonts w:ascii="Times New Roman" w:hAnsi="Times New Roman" w:cs="Times New Roman"/>
          <w:color w:val="000000"/>
          <w:sz w:val="20"/>
          <w:szCs w:val="20"/>
        </w:rPr>
        <w:t>[f]or purposes of this subsection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w:t>
      </w:r>
      <w:hyperlink r:id="rId287" w:history="1">
        <w:r>
          <w:rPr>
            <w:rFonts w:ascii="Times New Roman" w:hAnsi="Times New Roman" w:cs="Times New Roman"/>
            <w:color w:val="0000FF"/>
            <w:sz w:val="20"/>
            <w:szCs w:val="20"/>
            <w:u w:val="single"/>
          </w:rPr>
          <w:t>§ 1325(b)(2)</w:t>
        </w:r>
      </w:hyperlink>
      <w:r>
        <w:rPr>
          <w:rFonts w:ascii="Times New Roman" w:hAnsi="Times New Roman" w:cs="Times New Roman"/>
          <w:color w:val="000000"/>
          <w:sz w:val="20"/>
          <w:szCs w:val="20"/>
        </w:rPr>
        <w:t xml:space="preserve"> is not rendered supe</w:t>
      </w:r>
      <w:r>
        <w:rPr>
          <w:rFonts w:ascii="Times New Roman" w:hAnsi="Times New Roman" w:cs="Times New Roman"/>
          <w:color w:val="000000"/>
          <w:sz w:val="20"/>
          <w:szCs w:val="20"/>
        </w:rPr>
        <w:t>rfluous by the fo</w:t>
      </w:r>
      <w:r>
        <w:rPr>
          <w:rFonts w:ascii="Times New Roman" w:hAnsi="Times New Roman" w:cs="Times New Roman"/>
          <w:color w:val="000000"/>
          <w:sz w:val="20"/>
          <w:szCs w:val="20"/>
        </w:rPr>
        <w:t>r</w:t>
      </w:r>
      <w:r>
        <w:rPr>
          <w:rFonts w:ascii="Times New Roman" w:hAnsi="Times New Roman" w:cs="Times New Roman"/>
          <w:color w:val="000000"/>
          <w:sz w:val="20"/>
          <w:szCs w:val="20"/>
        </w:rPr>
        <w:t>ward-looking approach.</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Petitioner faults the Tenth Circuit for referring to a rebuttable </w:t>
      </w:r>
      <w:r>
        <w:rPr>
          <w:rFonts w:ascii="Times New Roman" w:hAnsi="Times New Roman" w:cs="Times New Roman"/>
          <w:color w:val="000000"/>
          <w:sz w:val="20"/>
          <w:szCs w:val="20"/>
        </w:rPr>
        <w:t>“</w:t>
      </w:r>
      <w:r>
        <w:rPr>
          <w:rFonts w:ascii="Times New Roman" w:hAnsi="Times New Roman" w:cs="Times New Roman"/>
          <w:color w:val="000000"/>
          <w:sz w:val="20"/>
          <w:szCs w:val="20"/>
        </w:rPr>
        <w:t>presumption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that the figure produced by the mechanical approach accurately represents a debtor's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See </w:t>
      </w:r>
      <w:hyperlink r:id="rId288" w:history="1">
        <w:r>
          <w:rPr>
            <w:rFonts w:ascii="Times New Roman" w:hAnsi="Times New Roman" w:cs="Times New Roman"/>
            <w:color w:val="0000FF"/>
            <w:sz w:val="20"/>
            <w:szCs w:val="20"/>
            <w:u w:val="single"/>
          </w:rPr>
          <w:t>545 F.3d, at 1278-1279.</w:t>
        </w:r>
      </w:hyperlink>
      <w:r>
        <w:rPr>
          <w:rFonts w:ascii="Times New Roman" w:hAnsi="Times New Roman" w:cs="Times New Roman"/>
          <w:color w:val="000000"/>
          <w:sz w:val="20"/>
          <w:szCs w:val="20"/>
        </w:rPr>
        <w:t xml:space="preserve"> Petitioner notes that the Code makes no reference to any such presumption bu</w:t>
      </w:r>
      <w:r>
        <w:rPr>
          <w:rFonts w:ascii="Times New Roman" w:hAnsi="Times New Roman" w:cs="Times New Roman"/>
          <w:color w:val="000000"/>
          <w:sz w:val="20"/>
          <w:szCs w:val="20"/>
        </w:rPr>
        <w:t xml:space="preserve">t that related Code provisions expressly create other rebuttable presumptions. See </w:t>
      </w:r>
      <w:hyperlink r:id="rId289" w:history="1">
        <w:r>
          <w:rPr>
            <w:rFonts w:ascii="Times New Roman" w:hAnsi="Times New Roman" w:cs="Times New Roman"/>
            <w:color w:val="0000FF"/>
            <w:sz w:val="20"/>
            <w:szCs w:val="20"/>
            <w:u w:val="single"/>
          </w:rPr>
          <w:t>§ 707(</w:t>
        </w:r>
        <w:r>
          <w:rPr>
            <w:rFonts w:ascii="Times New Roman" w:hAnsi="Times New Roman" w:cs="Times New Roman"/>
            <w:color w:val="0000FF"/>
            <w:sz w:val="20"/>
            <w:szCs w:val="20"/>
            <w:u w:val="single"/>
          </w:rPr>
          <w:t>b)(2)(A)(i)</w:t>
        </w:r>
      </w:hyperlink>
      <w:r>
        <w:rPr>
          <w:rFonts w:ascii="Times New Roman" w:hAnsi="Times New Roman" w:cs="Times New Roman"/>
          <w:color w:val="000000"/>
          <w:sz w:val="20"/>
          <w:szCs w:val="20"/>
        </w:rPr>
        <w:t xml:space="preserve"> and (B)(i). He thus suggests that the Tenth Circuit improperly su</w:t>
      </w:r>
      <w:r>
        <w:rPr>
          <w:rFonts w:ascii="Times New Roman" w:hAnsi="Times New Roman" w:cs="Times New Roman"/>
          <w:color w:val="000000"/>
          <w:sz w:val="20"/>
          <w:szCs w:val="20"/>
        </w:rPr>
        <w:t>p</w:t>
      </w:r>
      <w:r>
        <w:rPr>
          <w:rFonts w:ascii="Times New Roman" w:hAnsi="Times New Roman" w:cs="Times New Roman"/>
          <w:color w:val="000000"/>
          <w:sz w:val="20"/>
          <w:szCs w:val="20"/>
        </w:rPr>
        <w:t>plemented the text of the Code.</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The Tenth Circuit's analysis, however, simply heeds the ordinary meaning of the term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As noted, a person making a projection uses </w:t>
      </w:r>
      <w:r>
        <w:rPr>
          <w:rFonts w:ascii="Times New Roman" w:hAnsi="Times New Roman" w:cs="Times New Roman"/>
          <w:color w:val="000000"/>
          <w:sz w:val="20"/>
          <w:szCs w:val="20"/>
        </w:rPr>
        <w:t>past occu</w:t>
      </w:r>
      <w:r>
        <w:rPr>
          <w:rFonts w:ascii="Times New Roman" w:hAnsi="Times New Roman" w:cs="Times New Roman"/>
          <w:color w:val="000000"/>
          <w:sz w:val="20"/>
          <w:szCs w:val="20"/>
        </w:rPr>
        <w:t>r</w:t>
      </w:r>
      <w:r>
        <w:rPr>
          <w:rFonts w:ascii="Times New Roman" w:hAnsi="Times New Roman" w:cs="Times New Roman"/>
          <w:color w:val="000000"/>
          <w:sz w:val="20"/>
          <w:szCs w:val="20"/>
        </w:rPr>
        <w:t xml:space="preserve">rences as a starting point, and that is precisely what the Tenth Circuit prescribed. See, </w:t>
      </w:r>
      <w:r>
        <w:rPr>
          <w:rFonts w:ascii="Times New Roman" w:hAnsi="Times New Roman" w:cs="Times New Roman"/>
          <w:i/>
          <w:iCs/>
          <w:color w:val="000000"/>
          <w:sz w:val="20"/>
          <w:szCs w:val="20"/>
        </w:rPr>
        <w:t>e.g.,</w:t>
      </w:r>
      <w:r>
        <w:rPr>
          <w:rFonts w:ascii="Times New Roman" w:hAnsi="Times New Roman" w:cs="Times New Roman"/>
          <w:color w:val="000000"/>
          <w:sz w:val="20"/>
          <w:szCs w:val="20"/>
        </w:rPr>
        <w:t xml:space="preserve"> </w:t>
      </w:r>
      <w:hyperlink r:id="rId290" w:history="1">
        <w:r>
          <w:rPr>
            <w:rFonts w:ascii="Times New Roman" w:hAnsi="Times New Roman" w:cs="Times New Roman"/>
            <w:i/>
            <w:iCs/>
            <w:color w:val="0000FF"/>
            <w:sz w:val="20"/>
            <w:szCs w:val="20"/>
            <w:u w:val="single"/>
          </w:rPr>
          <w:t>Nowlin,</w:t>
        </w:r>
      </w:hyperlink>
      <w:hyperlink r:id="rId291" w:history="1">
        <w:r>
          <w:rPr>
            <w:rFonts w:ascii="Times New Roman" w:hAnsi="Times New Roman" w:cs="Times New Roman"/>
            <w:color w:val="0000FF"/>
            <w:sz w:val="24"/>
            <w:szCs w:val="24"/>
            <w:u w:val="single"/>
          </w:rPr>
          <w:t> </w:t>
        </w:r>
      </w:hyperlink>
      <w:hyperlink r:id="rId292" w:history="1">
        <w:r>
          <w:rPr>
            <w:rFonts w:ascii="Times New Roman" w:hAnsi="Times New Roman" w:cs="Times New Roman"/>
            <w:i/>
            <w:iCs/>
            <w:color w:val="0000FF"/>
            <w:sz w:val="20"/>
            <w:szCs w:val="20"/>
            <w:u w:val="single"/>
          </w:rPr>
          <w:t>supra,</w:t>
        </w:r>
      </w:hyperlink>
      <w:hyperlink r:id="rId293" w:history="1">
        <w:r>
          <w:rPr>
            <w:rFonts w:ascii="Times New Roman" w:hAnsi="Times New Roman" w:cs="Times New Roman"/>
            <w:color w:val="0000FF"/>
            <w:sz w:val="20"/>
            <w:szCs w:val="20"/>
            <w:u w:val="single"/>
          </w:rPr>
          <w:t xml:space="preserve"> at 260, 263.</w:t>
        </w:r>
      </w:hyperlink>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Petitioner argues that only the mechanical approach is consistent with § 1129(a)(15)(B), which refers to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projected disposable income of the debtor (as defined </w:t>
      </w:r>
      <w:r>
        <w:rPr>
          <w:rFonts w:ascii="Times New Roman" w:hAnsi="Times New Roman" w:cs="Times New Roman"/>
          <w:color w:val="000000"/>
          <w:sz w:val="20"/>
          <w:szCs w:val="20"/>
        </w:rPr>
        <w:lastRenderedPageBreak/>
        <w:t xml:space="preserve">in </w:t>
      </w:r>
      <w:hyperlink r:id="rId294" w:history="1">
        <w:r>
          <w:rPr>
            <w:rFonts w:ascii="Times New Roman" w:hAnsi="Times New Roman" w:cs="Times New Roman"/>
            <w:color w:val="0000FF"/>
            <w:sz w:val="20"/>
            <w:szCs w:val="20"/>
            <w:u w:val="single"/>
          </w:rPr>
          <w:t>section 1325(b)(2)</w:t>
        </w:r>
      </w:hyperlink>
      <w:r>
        <w:rPr>
          <w:rFonts w:ascii="Times New Roman" w:hAnsi="Times New Roman" w:cs="Times New Roman"/>
          <w:color w:val="000000"/>
          <w:sz w:val="20"/>
          <w:szCs w:val="20"/>
        </w:rPr>
        <w:t>).</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This cross-reference, pet</w:t>
      </w:r>
      <w:r>
        <w:rPr>
          <w:rFonts w:ascii="Times New Roman" w:hAnsi="Times New Roman" w:cs="Times New Roman"/>
          <w:color w:val="000000"/>
          <w:sz w:val="20"/>
          <w:szCs w:val="20"/>
        </w:rPr>
        <w:t>i</w:t>
      </w:r>
      <w:r>
        <w:rPr>
          <w:rFonts w:ascii="Times New Roman" w:hAnsi="Times New Roman" w:cs="Times New Roman"/>
          <w:color w:val="000000"/>
          <w:sz w:val="20"/>
          <w:szCs w:val="20"/>
        </w:rPr>
        <w:t xml:space="preserve">tioner argues, shows that Congress intended for the term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to incorpora</w:t>
      </w:r>
      <w:r>
        <w:rPr>
          <w:rFonts w:ascii="Times New Roman" w:hAnsi="Times New Roman" w:cs="Times New Roman"/>
          <w:color w:val="000000"/>
          <w:sz w:val="20"/>
          <w:szCs w:val="20"/>
        </w:rPr>
        <w:t xml:space="preserve">te, presumably in all contexts, the defined term </w:t>
      </w:r>
      <w:r>
        <w:rPr>
          <w:rFonts w:ascii="Times New Roman" w:hAnsi="Times New Roman" w:cs="Times New Roman"/>
          <w:color w:val="000000"/>
          <w:sz w:val="20"/>
          <w:szCs w:val="20"/>
        </w:rPr>
        <w:t>“</w:t>
      </w:r>
      <w:r>
        <w:rPr>
          <w:rFonts w:ascii="Times New Roman" w:hAnsi="Times New Roman" w:cs="Times New Roman"/>
          <w:color w:val="000000"/>
          <w:sz w:val="20"/>
          <w:szCs w:val="20"/>
        </w:rPr>
        <w:t>dispo</w:t>
      </w:r>
      <w:r>
        <w:rPr>
          <w:rFonts w:ascii="Times New Roman" w:hAnsi="Times New Roman" w:cs="Times New Roman"/>
          <w:color w:val="000000"/>
          <w:sz w:val="20"/>
          <w:szCs w:val="20"/>
        </w:rPr>
        <w:t>s</w:t>
      </w:r>
      <w:r>
        <w:rPr>
          <w:rFonts w:ascii="Times New Roman" w:hAnsi="Times New Roman" w:cs="Times New Roman"/>
          <w:color w:val="000000"/>
          <w:sz w:val="20"/>
          <w:szCs w:val="20"/>
        </w:rPr>
        <w:t>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It is evident that § 1129(a)(15)(B) refers to the defined term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see </w:t>
      </w:r>
      <w:hyperlink r:id="rId295" w:history="1">
        <w:r>
          <w:rPr>
            <w:rFonts w:ascii="Times New Roman" w:hAnsi="Times New Roman" w:cs="Times New Roman"/>
            <w:color w:val="0000FF"/>
            <w:sz w:val="20"/>
            <w:szCs w:val="20"/>
            <w:u w:val="single"/>
          </w:rPr>
          <w:t>§ 1325(b)(2)</w:t>
        </w:r>
      </w:hyperlink>
      <w:r>
        <w:rPr>
          <w:rFonts w:ascii="Times New Roman" w:hAnsi="Times New Roman" w:cs="Times New Roman"/>
          <w:color w:val="000000"/>
          <w:sz w:val="20"/>
          <w:szCs w:val="20"/>
        </w:rPr>
        <w:t xml:space="preserve">, but that fact offers no insight into the meaning of the word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w:t>
      </w:r>
      <w:hyperlink r:id="rId296" w:history="1">
        <w:r>
          <w:rPr>
            <w:rFonts w:ascii="Times New Roman" w:hAnsi="Times New Roman" w:cs="Times New Roman"/>
            <w:color w:val="0000FF"/>
            <w:sz w:val="20"/>
            <w:szCs w:val="20"/>
            <w:u w:val="single"/>
          </w:rPr>
          <w:t>§§ 1129(a)(15)(B)</w:t>
        </w:r>
      </w:hyperlink>
      <w:r>
        <w:rPr>
          <w:rFonts w:ascii="Times New Roman" w:hAnsi="Times New Roman" w:cs="Times New Roman"/>
          <w:color w:val="000000"/>
          <w:sz w:val="20"/>
          <w:szCs w:val="20"/>
        </w:rPr>
        <w:t xml:space="preserve"> and </w:t>
      </w:r>
      <w:hyperlink r:id="rId297" w:history="1">
        <w:r>
          <w:rPr>
            <w:rFonts w:ascii="Times New Roman" w:hAnsi="Times New Roman" w:cs="Times New Roman"/>
            <w:color w:val="0000FF"/>
            <w:sz w:val="20"/>
            <w:szCs w:val="20"/>
            <w:u w:val="single"/>
          </w:rPr>
          <w:t>1325(b)(1)(B)</w:t>
        </w:r>
      </w:hyperlink>
      <w:r>
        <w:rPr>
          <w:rFonts w:ascii="Times New Roman" w:hAnsi="Times New Roman" w:cs="Times New Roman"/>
          <w:color w:val="000000"/>
          <w:sz w:val="20"/>
          <w:szCs w:val="20"/>
        </w:rPr>
        <w:t>. We fail to see how that word a</w:t>
      </w:r>
      <w:r>
        <w:rPr>
          <w:rFonts w:ascii="Times New Roman" w:hAnsi="Times New Roman" w:cs="Times New Roman"/>
          <w:color w:val="000000"/>
          <w:sz w:val="20"/>
          <w:szCs w:val="20"/>
        </w:rPr>
        <w:t>c</w:t>
      </w:r>
      <w:r>
        <w:rPr>
          <w:rFonts w:ascii="Times New Roman" w:hAnsi="Times New Roman" w:cs="Times New Roman"/>
          <w:color w:val="000000"/>
          <w:sz w:val="20"/>
          <w:szCs w:val="20"/>
        </w:rPr>
        <w:t xml:space="preserve">quires a specialized meaning as a result of this cross-reference-particularly where both </w:t>
      </w:r>
      <w:hyperlink r:id="rId298" w:history="1">
        <w:r>
          <w:rPr>
            <w:rFonts w:ascii="Times New Roman" w:hAnsi="Times New Roman" w:cs="Times New Roman"/>
            <w:color w:val="0000FF"/>
            <w:sz w:val="20"/>
            <w:szCs w:val="20"/>
            <w:u w:val="single"/>
          </w:rPr>
          <w:t>§§ 1129(a)(15)(B)</w:t>
        </w:r>
      </w:hyperlink>
      <w:r>
        <w:rPr>
          <w:rFonts w:ascii="Times New Roman" w:hAnsi="Times New Roman" w:cs="Times New Roman"/>
          <w:color w:val="000000"/>
          <w:sz w:val="20"/>
          <w:szCs w:val="20"/>
        </w:rPr>
        <w:t xml:space="preserve"> and </w:t>
      </w:r>
      <w:hyperlink r:id="rId299" w:history="1">
        <w:r>
          <w:rPr>
            <w:rFonts w:ascii="Times New Roman" w:hAnsi="Times New Roman" w:cs="Times New Roman"/>
            <w:color w:val="0000FF"/>
            <w:sz w:val="20"/>
            <w:szCs w:val="20"/>
            <w:u w:val="single"/>
          </w:rPr>
          <w:t>1</w:t>
        </w:r>
        <w:r>
          <w:rPr>
            <w:rFonts w:ascii="Times New Roman" w:hAnsi="Times New Roman" w:cs="Times New Roman"/>
            <w:color w:val="0000FF"/>
            <w:sz w:val="20"/>
            <w:szCs w:val="20"/>
            <w:u w:val="single"/>
          </w:rPr>
          <w:t>325(b)(1)(B)</w:t>
        </w:r>
      </w:hyperlink>
      <w:r>
        <w:rPr>
          <w:rFonts w:ascii="Times New Roman" w:hAnsi="Times New Roman" w:cs="Times New Roman"/>
          <w:color w:val="000000"/>
          <w:sz w:val="20"/>
          <w:szCs w:val="20"/>
        </w:rPr>
        <w:t xml:space="preserve"> refer to projected disposable income </w:t>
      </w:r>
      <w:r>
        <w:rPr>
          <w:rFonts w:ascii="Times New Roman" w:hAnsi="Times New Roman" w:cs="Times New Roman"/>
          <w:color w:val="000000"/>
          <w:sz w:val="20"/>
          <w:szCs w:val="20"/>
        </w:rPr>
        <w:t>“</w:t>
      </w:r>
      <w:r>
        <w:rPr>
          <w:rFonts w:ascii="Times New Roman" w:hAnsi="Times New Roman" w:cs="Times New Roman"/>
          <w:color w:val="000000"/>
          <w:sz w:val="20"/>
          <w:szCs w:val="20"/>
        </w:rPr>
        <w:t>to be received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during the rel</w:t>
      </w:r>
      <w:r>
        <w:rPr>
          <w:rFonts w:ascii="Times New Roman" w:hAnsi="Times New Roman" w:cs="Times New Roman"/>
          <w:color w:val="000000"/>
          <w:sz w:val="20"/>
          <w:szCs w:val="20"/>
        </w:rPr>
        <w:t>e</w:t>
      </w:r>
      <w:r>
        <w:rPr>
          <w:rFonts w:ascii="Times New Roman" w:hAnsi="Times New Roman" w:cs="Times New Roman"/>
          <w:color w:val="000000"/>
          <w:sz w:val="20"/>
          <w:szCs w:val="20"/>
        </w:rPr>
        <w:t xml:space="preserve">vant period. See </w:t>
      </w:r>
      <w:r>
        <w:rPr>
          <w:rFonts w:ascii="Times New Roman" w:hAnsi="Times New Roman" w:cs="Times New Roman"/>
          <w:i/>
          <w:iCs/>
          <w:color w:val="000000"/>
          <w:sz w:val="20"/>
          <w:szCs w:val="20"/>
        </w:rPr>
        <w:t>supra,</w:t>
      </w:r>
      <w:r>
        <w:rPr>
          <w:rFonts w:ascii="Times New Roman" w:hAnsi="Times New Roman" w:cs="Times New Roman"/>
          <w:color w:val="000000"/>
          <w:sz w:val="20"/>
          <w:szCs w:val="20"/>
        </w:rPr>
        <w:t xml:space="preserve"> at 11.</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Petitioner also notes that </w:t>
      </w:r>
      <w:hyperlink r:id="rId300" w:history="1">
        <w:r>
          <w:rPr>
            <w:rFonts w:ascii="Times New Roman" w:hAnsi="Times New Roman" w:cs="Times New Roman"/>
            <w:color w:val="0000FF"/>
            <w:sz w:val="20"/>
            <w:szCs w:val="20"/>
            <w:u w:val="single"/>
          </w:rPr>
          <w:t>§ 707</w:t>
        </w:r>
      </w:hyperlink>
      <w:r>
        <w:rPr>
          <w:rFonts w:ascii="Times New Roman" w:hAnsi="Times New Roman" w:cs="Times New Roman"/>
          <w:color w:val="000000"/>
          <w:sz w:val="20"/>
          <w:szCs w:val="20"/>
        </w:rPr>
        <w:t xml:space="preserve"> allows courts to take </w:t>
      </w:r>
      <w:r>
        <w:rPr>
          <w:rFonts w:ascii="Times New Roman" w:hAnsi="Times New Roman" w:cs="Times New Roman"/>
          <w:color w:val="000000"/>
          <w:sz w:val="20"/>
          <w:szCs w:val="20"/>
        </w:rPr>
        <w:t>“</w:t>
      </w:r>
      <w:r>
        <w:rPr>
          <w:rFonts w:ascii="Times New Roman" w:hAnsi="Times New Roman" w:cs="Times New Roman"/>
          <w:color w:val="000000"/>
          <w:sz w:val="20"/>
          <w:szCs w:val="20"/>
        </w:rPr>
        <w:t>special circumstances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into consideration, but that </w:t>
      </w:r>
      <w:hyperlink r:id="rId301" w:history="1">
        <w:r>
          <w:rPr>
            <w:rFonts w:ascii="Times New Roman" w:hAnsi="Times New Roman" w:cs="Times New Roman"/>
            <w:color w:val="0000FF"/>
            <w:sz w:val="20"/>
            <w:szCs w:val="20"/>
            <w:u w:val="single"/>
          </w:rPr>
          <w:t>§ 13</w:t>
        </w:r>
        <w:r>
          <w:rPr>
            <w:rFonts w:ascii="Times New Roman" w:hAnsi="Times New Roman" w:cs="Times New Roman"/>
            <w:color w:val="0000FF"/>
            <w:sz w:val="20"/>
            <w:szCs w:val="20"/>
            <w:u w:val="single"/>
          </w:rPr>
          <w:t>25(b)(3)</w:t>
        </w:r>
      </w:hyperlink>
      <w:r>
        <w:rPr>
          <w:rFonts w:ascii="Times New Roman" w:hAnsi="Times New Roman" w:cs="Times New Roman"/>
          <w:color w:val="000000"/>
          <w:sz w:val="20"/>
          <w:szCs w:val="20"/>
        </w:rPr>
        <w:t xml:space="preserve"> incorporates </w:t>
      </w:r>
      <w:hyperlink r:id="rId302" w:history="1">
        <w:r>
          <w:rPr>
            <w:rFonts w:ascii="Times New Roman" w:hAnsi="Times New Roman" w:cs="Times New Roman"/>
            <w:color w:val="0000FF"/>
            <w:sz w:val="20"/>
            <w:szCs w:val="20"/>
            <w:u w:val="single"/>
          </w:rPr>
          <w:t>§ 707</w:t>
        </w:r>
      </w:hyperlink>
      <w:r>
        <w:rPr>
          <w:rFonts w:ascii="Times New Roman" w:hAnsi="Times New Roman" w:cs="Times New Roman"/>
          <w:color w:val="000000"/>
          <w:sz w:val="20"/>
          <w:szCs w:val="20"/>
        </w:rPr>
        <w:t xml:space="preserve"> only with respect to calculating expenses. See </w:t>
      </w:r>
      <w:hyperlink r:id="rId303" w:history="1">
        <w:r>
          <w:rPr>
            <w:rFonts w:ascii="Times New Roman" w:hAnsi="Times New Roman" w:cs="Times New Roman"/>
            <w:i/>
            <w:iCs/>
            <w:color w:val="0000FF"/>
            <w:sz w:val="20"/>
            <w:szCs w:val="20"/>
            <w:u w:val="single"/>
          </w:rPr>
          <w:t>In re Wilson,</w:t>
        </w:r>
      </w:hyperlink>
      <w:hyperlink r:id="rId304" w:history="1">
        <w:r>
          <w:rPr>
            <w:rFonts w:ascii="Times New Roman" w:hAnsi="Times New Roman" w:cs="Times New Roman"/>
            <w:color w:val="0000FF"/>
            <w:sz w:val="20"/>
            <w:szCs w:val="20"/>
            <w:u w:val="single"/>
          </w:rPr>
          <w:t xml:space="preserve"> 39</w:t>
        </w:r>
        <w:r>
          <w:rPr>
            <w:rFonts w:ascii="Times New Roman" w:hAnsi="Times New Roman" w:cs="Times New Roman"/>
            <w:color w:val="0000FF"/>
            <w:sz w:val="20"/>
            <w:szCs w:val="20"/>
            <w:u w:val="single"/>
          </w:rPr>
          <w:t>7 B.R. 299, 314-315 (Bkrtcy.M.D.N.C.2008)</w:t>
        </w:r>
      </w:hyperlink>
      <w:r>
        <w:rPr>
          <w:rFonts w:ascii="Times New Roman" w:hAnsi="Times New Roman" w:cs="Times New Roman"/>
          <w:color w:val="000000"/>
          <w:sz w:val="20"/>
          <w:szCs w:val="20"/>
        </w:rPr>
        <w:t xml:space="preserve">. Thus, he argues, a </w:t>
      </w:r>
      <w:r>
        <w:rPr>
          <w:rFonts w:ascii="Times New Roman" w:hAnsi="Times New Roman" w:cs="Times New Roman"/>
          <w:color w:val="000000"/>
          <w:sz w:val="20"/>
          <w:szCs w:val="20"/>
        </w:rPr>
        <w:t>“</w:t>
      </w:r>
      <w:r>
        <w:rPr>
          <w:rFonts w:ascii="Times New Roman" w:hAnsi="Times New Roman" w:cs="Times New Roman"/>
          <w:color w:val="000000"/>
          <w:sz w:val="20"/>
          <w:szCs w:val="20"/>
        </w:rPr>
        <w:t>special circumstances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exception should not be i</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ferred with respect to the debtor's income. We decline to infer from </w:t>
      </w:r>
      <w:hyperlink r:id="rId305" w:history="1">
        <w:r>
          <w:rPr>
            <w:rFonts w:ascii="Times New Roman" w:hAnsi="Times New Roman" w:cs="Times New Roman"/>
            <w:color w:val="0000FF"/>
            <w:sz w:val="20"/>
            <w:szCs w:val="20"/>
            <w:u w:val="single"/>
          </w:rPr>
          <w:t>§ 1325</w:t>
        </w:r>
      </w:hyperlink>
      <w:r>
        <w:rPr>
          <w:rFonts w:ascii="Times New Roman" w:hAnsi="Times New Roman" w:cs="Times New Roman"/>
          <w:color w:val="000000"/>
          <w:sz w:val="20"/>
          <w:szCs w:val="20"/>
        </w:rPr>
        <w:t xml:space="preserve">'s incorporation of </w:t>
      </w:r>
      <w:hyperlink r:id="rId306" w:history="1">
        <w:r>
          <w:rPr>
            <w:rFonts w:ascii="Times New Roman" w:hAnsi="Times New Roman" w:cs="Times New Roman"/>
            <w:color w:val="0000FF"/>
            <w:sz w:val="20"/>
            <w:szCs w:val="20"/>
            <w:u w:val="single"/>
          </w:rPr>
          <w:t>§ 707</w:t>
        </w:r>
      </w:hyperlink>
      <w:r>
        <w:rPr>
          <w:rFonts w:ascii="Times New Roman" w:hAnsi="Times New Roman" w:cs="Times New Roman"/>
          <w:color w:val="000000"/>
          <w:sz w:val="20"/>
          <w:szCs w:val="20"/>
        </w:rPr>
        <w:t xml:space="preserve"> that Congress intended to eliminate, </w:t>
      </w:r>
      <w:r>
        <w:rPr>
          <w:rFonts w:ascii="Times New Roman" w:hAnsi="Times New Roman" w:cs="Times New Roman"/>
          <w:i/>
          <w:iCs/>
          <w:color w:val="000000"/>
          <w:sz w:val="20"/>
          <w:szCs w:val="20"/>
        </w:rPr>
        <w:t>sub silentio,</w:t>
      </w:r>
      <w:r>
        <w:rPr>
          <w:rFonts w:ascii="Times New Roman" w:hAnsi="Times New Roman" w:cs="Times New Roman"/>
          <w:color w:val="000000"/>
          <w:sz w:val="20"/>
          <w:szCs w:val="20"/>
        </w:rPr>
        <w:t xml:space="preserve"> the di</w:t>
      </w:r>
      <w:r>
        <w:rPr>
          <w:rFonts w:ascii="Times New Roman" w:hAnsi="Times New Roman" w:cs="Times New Roman"/>
          <w:color w:val="000000"/>
          <w:sz w:val="20"/>
          <w:szCs w:val="20"/>
        </w:rPr>
        <w:t>s</w:t>
      </w:r>
      <w:r>
        <w:rPr>
          <w:rFonts w:ascii="Times New Roman" w:hAnsi="Times New Roman" w:cs="Times New Roman"/>
          <w:color w:val="000000"/>
          <w:sz w:val="20"/>
          <w:szCs w:val="20"/>
        </w:rPr>
        <w:t>cretion that co</w:t>
      </w:r>
      <w:r>
        <w:rPr>
          <w:rFonts w:ascii="Times New Roman" w:hAnsi="Times New Roman" w:cs="Times New Roman"/>
          <w:color w:val="000000"/>
          <w:sz w:val="20"/>
          <w:szCs w:val="20"/>
        </w:rPr>
        <w:t>urts previously exercised when pr</w:t>
      </w:r>
      <w:r>
        <w:rPr>
          <w:rFonts w:ascii="Times New Roman" w:hAnsi="Times New Roman" w:cs="Times New Roman"/>
          <w:color w:val="000000"/>
          <w:sz w:val="20"/>
          <w:szCs w:val="20"/>
        </w:rPr>
        <w:t>o</w:t>
      </w:r>
      <w:r>
        <w:rPr>
          <w:rFonts w:ascii="Times New Roman" w:hAnsi="Times New Roman" w:cs="Times New Roman"/>
          <w:color w:val="000000"/>
          <w:sz w:val="20"/>
          <w:szCs w:val="20"/>
        </w:rPr>
        <w:t xml:space="preserve">jecting disposable income to account for known or virtually certain changes. Accord, </w:t>
      </w:r>
      <w:hyperlink r:id="rId307" w:history="1">
        <w:r>
          <w:rPr>
            <w:rFonts w:ascii="Times New Roman" w:hAnsi="Times New Roman" w:cs="Times New Roman"/>
            <w:i/>
            <w:iCs/>
            <w:color w:val="0000FF"/>
            <w:sz w:val="20"/>
            <w:szCs w:val="20"/>
            <w:u w:val="single"/>
          </w:rPr>
          <w:t>In re</w:t>
        </w:r>
      </w:hyperlink>
      <w:hyperlink r:id="rId308" w:history="1">
        <w:r>
          <w:rPr>
            <w:rFonts w:ascii="Times New Roman" w:hAnsi="Times New Roman" w:cs="Times New Roman"/>
            <w:color w:val="0000FF"/>
            <w:sz w:val="24"/>
            <w:szCs w:val="24"/>
            <w:u w:val="single"/>
          </w:rPr>
          <w:t> </w:t>
        </w:r>
      </w:hyperlink>
      <w:hyperlink r:id="rId309" w:history="1">
        <w:r>
          <w:rPr>
            <w:rFonts w:ascii="Times New Roman" w:hAnsi="Times New Roman" w:cs="Times New Roman"/>
            <w:i/>
            <w:iCs/>
            <w:color w:val="0000FF"/>
            <w:sz w:val="20"/>
            <w:szCs w:val="20"/>
            <w:u w:val="single"/>
          </w:rPr>
          <w:t>Liverman,</w:t>
        </w:r>
      </w:hyperlink>
      <w:hyperlink r:id="rId310" w:history="1">
        <w:r>
          <w:rPr>
            <w:rFonts w:ascii="Times New Roman" w:hAnsi="Times New Roman" w:cs="Times New Roman"/>
            <w:color w:val="0000FF"/>
            <w:sz w:val="20"/>
            <w:szCs w:val="20"/>
            <w:u w:val="single"/>
          </w:rPr>
          <w:t xml:space="preserve"> 383 B.R. 604, 61</w:t>
        </w:r>
        <w:r>
          <w:rPr>
            <w:rFonts w:ascii="Times New Roman" w:hAnsi="Times New Roman" w:cs="Times New Roman"/>
            <w:color w:val="0000FF"/>
            <w:sz w:val="20"/>
            <w:szCs w:val="20"/>
            <w:u w:val="single"/>
          </w:rPr>
          <w:t>3, and n. 15 (Bkrtcy.N.J.2008)</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D</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*10</w:t>
      </w:r>
      <w:r>
        <w:rPr>
          <w:rFonts w:ascii="Times New Roman" w:hAnsi="Times New Roman" w:cs="Times New Roman"/>
          <w:color w:val="000000"/>
          <w:sz w:val="20"/>
          <w:szCs w:val="20"/>
        </w:rPr>
        <w:t xml:space="preserve"> </w:t>
      </w:r>
      <w:hyperlink w:anchor="Document1zzF112022242875" w:history="1">
        <w:r>
          <w:rPr>
            <w:rFonts w:ascii="Times New Roman" w:hAnsi="Times New Roman" w:cs="Times New Roman"/>
            <w:color w:val="0000FF"/>
            <w:sz w:val="20"/>
            <w:szCs w:val="20"/>
            <w:u w:val="single"/>
          </w:rPr>
          <w:t>[11]</w:t>
        </w:r>
      </w:hyperlink>
      <w:bookmarkStart w:id="47" w:name="Document1zzB112022242875"/>
      <w:bookmarkEnd w:id="47"/>
      <w:r>
        <w:rPr>
          <w:rFonts w:ascii="Times New Roman" w:hAnsi="Times New Roman" w:cs="Times New Roman"/>
          <w:color w:val="000000"/>
          <w:sz w:val="20"/>
          <w:szCs w:val="20"/>
        </w:rPr>
        <w:t xml:space="preserve"> In cases in which a debtor's disposable i</w:t>
      </w:r>
      <w:r>
        <w:rPr>
          <w:rFonts w:ascii="Times New Roman" w:hAnsi="Times New Roman" w:cs="Times New Roman"/>
          <w:color w:val="000000"/>
          <w:sz w:val="20"/>
          <w:szCs w:val="20"/>
        </w:rPr>
        <w:t>n</w:t>
      </w:r>
      <w:r>
        <w:rPr>
          <w:rFonts w:ascii="Times New Roman" w:hAnsi="Times New Roman" w:cs="Times New Roman"/>
          <w:color w:val="000000"/>
          <w:sz w:val="20"/>
          <w:szCs w:val="20"/>
        </w:rPr>
        <w:t>come during the 6-month look-back period is either substantially lowe</w:t>
      </w:r>
      <w:r>
        <w:rPr>
          <w:rFonts w:ascii="Times New Roman" w:hAnsi="Times New Roman" w:cs="Times New Roman"/>
          <w:color w:val="000000"/>
          <w:sz w:val="20"/>
          <w:szCs w:val="20"/>
        </w:rPr>
        <w:t>r or higher than the debtor's di</w:t>
      </w:r>
      <w:r>
        <w:rPr>
          <w:rFonts w:ascii="Times New Roman" w:hAnsi="Times New Roman" w:cs="Times New Roman"/>
          <w:color w:val="000000"/>
          <w:sz w:val="20"/>
          <w:szCs w:val="20"/>
        </w:rPr>
        <w:t>s</w:t>
      </w:r>
      <w:r>
        <w:rPr>
          <w:rFonts w:ascii="Times New Roman" w:hAnsi="Times New Roman" w:cs="Times New Roman"/>
          <w:color w:val="000000"/>
          <w:sz w:val="20"/>
          <w:szCs w:val="20"/>
        </w:rPr>
        <w:t>posable income during the plan period, the mechanical approach would produce senseless results that we do not think Congress i</w:t>
      </w:r>
      <w:r>
        <w:rPr>
          <w:rFonts w:ascii="Times New Roman" w:hAnsi="Times New Roman" w:cs="Times New Roman"/>
          <w:color w:val="000000"/>
          <w:sz w:val="20"/>
          <w:szCs w:val="20"/>
        </w:rPr>
        <w:t>n</w:t>
      </w:r>
      <w:r>
        <w:rPr>
          <w:rFonts w:ascii="Times New Roman" w:hAnsi="Times New Roman" w:cs="Times New Roman"/>
          <w:color w:val="000000"/>
          <w:sz w:val="20"/>
          <w:szCs w:val="20"/>
        </w:rPr>
        <w:t>tended. In cases in which the debtor's disposable income is higher during the plan period, the m</w:t>
      </w:r>
      <w:r>
        <w:rPr>
          <w:rFonts w:ascii="Times New Roman" w:hAnsi="Times New Roman" w:cs="Times New Roman"/>
          <w:color w:val="000000"/>
          <w:sz w:val="20"/>
          <w:szCs w:val="20"/>
        </w:rPr>
        <w:t>echanical approach would deny creditors payments that the debtor could easily make. And where, as in the present case, the debtor's disposable income during the plan period is substantially lower, the mechanical approach would deny the protection of Chapte</w:t>
      </w:r>
      <w:r>
        <w:rPr>
          <w:rFonts w:ascii="Times New Roman" w:hAnsi="Times New Roman" w:cs="Times New Roman"/>
          <w:color w:val="000000"/>
          <w:sz w:val="20"/>
          <w:szCs w:val="20"/>
        </w:rPr>
        <w:t>r 13 to debtors who meet the chapter's main eligibility requirements. Here, for e</w:t>
      </w:r>
      <w:r>
        <w:rPr>
          <w:rFonts w:ascii="Times New Roman" w:hAnsi="Times New Roman" w:cs="Times New Roman"/>
          <w:color w:val="000000"/>
          <w:sz w:val="20"/>
          <w:szCs w:val="20"/>
        </w:rPr>
        <w:t>x</w:t>
      </w:r>
      <w:r>
        <w:rPr>
          <w:rFonts w:ascii="Times New Roman" w:hAnsi="Times New Roman" w:cs="Times New Roman"/>
          <w:color w:val="000000"/>
          <w:sz w:val="20"/>
          <w:szCs w:val="20"/>
        </w:rPr>
        <w:t>ample, respo</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dent is an </w:t>
      </w:r>
      <w:r>
        <w:rPr>
          <w:rFonts w:ascii="Times New Roman" w:hAnsi="Times New Roman" w:cs="Times New Roman"/>
          <w:color w:val="000000"/>
          <w:sz w:val="20"/>
          <w:szCs w:val="20"/>
        </w:rPr>
        <w:t>“</w:t>
      </w:r>
      <w:r>
        <w:rPr>
          <w:rFonts w:ascii="Times New Roman" w:hAnsi="Times New Roman" w:cs="Times New Roman"/>
          <w:color w:val="000000"/>
          <w:sz w:val="20"/>
          <w:szCs w:val="20"/>
        </w:rPr>
        <w:t>individual whose income is sufficiently stable and regular</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to allow her </w:t>
      </w:r>
      <w:r>
        <w:rPr>
          <w:rFonts w:ascii="Times New Roman" w:hAnsi="Times New Roman" w:cs="Times New Roman"/>
          <w:color w:val="000000"/>
          <w:sz w:val="20"/>
          <w:szCs w:val="20"/>
        </w:rPr>
        <w:t>“</w:t>
      </w:r>
      <w:r>
        <w:rPr>
          <w:rFonts w:ascii="Times New Roman" w:hAnsi="Times New Roman" w:cs="Times New Roman"/>
          <w:color w:val="000000"/>
          <w:sz w:val="20"/>
          <w:szCs w:val="20"/>
        </w:rPr>
        <w:t>to make payments under a plan,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311" w:history="1">
        <w:r>
          <w:rPr>
            <w:rFonts w:ascii="Times New Roman" w:hAnsi="Times New Roman" w:cs="Times New Roman"/>
            <w:color w:val="0000FF"/>
            <w:sz w:val="20"/>
            <w:szCs w:val="20"/>
            <w:u w:val="single"/>
          </w:rPr>
          <w:t>§ 101(30)</w:t>
        </w:r>
      </w:hyperlink>
      <w:r>
        <w:rPr>
          <w:rFonts w:ascii="Times New Roman" w:hAnsi="Times New Roman" w:cs="Times New Roman"/>
          <w:color w:val="000000"/>
          <w:sz w:val="20"/>
          <w:szCs w:val="20"/>
        </w:rPr>
        <w:t xml:space="preserve">, and her debts fall below the limits set out in </w:t>
      </w:r>
      <w:hyperlink r:id="rId312" w:history="1">
        <w:r>
          <w:rPr>
            <w:rFonts w:ascii="Times New Roman" w:hAnsi="Times New Roman" w:cs="Times New Roman"/>
            <w:color w:val="0000FF"/>
            <w:sz w:val="20"/>
            <w:szCs w:val="20"/>
            <w:u w:val="single"/>
          </w:rPr>
          <w:t>§ 109(e)</w:t>
        </w:r>
      </w:hyperlink>
      <w:r>
        <w:rPr>
          <w:rFonts w:ascii="Times New Roman" w:hAnsi="Times New Roman" w:cs="Times New Roman"/>
          <w:color w:val="000000"/>
          <w:sz w:val="20"/>
          <w:szCs w:val="20"/>
        </w:rPr>
        <w:t>. But if the mechanical a</w:t>
      </w:r>
      <w:r>
        <w:rPr>
          <w:rFonts w:ascii="Times New Roman" w:hAnsi="Times New Roman" w:cs="Times New Roman"/>
          <w:color w:val="000000"/>
          <w:sz w:val="20"/>
          <w:szCs w:val="20"/>
        </w:rPr>
        <w:t>p</w:t>
      </w:r>
      <w:r>
        <w:rPr>
          <w:rFonts w:ascii="Times New Roman" w:hAnsi="Times New Roman" w:cs="Times New Roman"/>
          <w:color w:val="000000"/>
          <w:sz w:val="20"/>
          <w:szCs w:val="20"/>
        </w:rPr>
        <w:t xml:space="preserve">proach were used, she could not file a confirmable plan. Under </w:t>
      </w:r>
      <w:hyperlink r:id="rId313" w:history="1">
        <w:r>
          <w:rPr>
            <w:rFonts w:ascii="Times New Roman" w:hAnsi="Times New Roman" w:cs="Times New Roman"/>
            <w:color w:val="0000FF"/>
            <w:sz w:val="20"/>
            <w:szCs w:val="20"/>
            <w:u w:val="single"/>
          </w:rPr>
          <w:t>§ 1325(a)(6)</w:t>
        </w:r>
      </w:hyperlink>
      <w:r>
        <w:rPr>
          <w:rFonts w:ascii="Times New Roman" w:hAnsi="Times New Roman" w:cs="Times New Roman"/>
          <w:color w:val="000000"/>
          <w:sz w:val="20"/>
          <w:szCs w:val="20"/>
        </w:rPr>
        <w:t xml:space="preserve">, a plan cannot be confirmed </w:t>
      </w:r>
      <w:r>
        <w:rPr>
          <w:rFonts w:ascii="Times New Roman" w:hAnsi="Times New Roman" w:cs="Times New Roman"/>
          <w:color w:val="000000"/>
          <w:sz w:val="20"/>
          <w:szCs w:val="20"/>
        </w:rPr>
        <w:lastRenderedPageBreak/>
        <w:t xml:space="preserve">unless </w:t>
      </w:r>
      <w:r>
        <w:rPr>
          <w:rFonts w:ascii="Times New Roman" w:hAnsi="Times New Roman" w:cs="Times New Roman"/>
          <w:color w:val="000000"/>
          <w:sz w:val="20"/>
          <w:szCs w:val="20"/>
        </w:rPr>
        <w:t>“</w:t>
      </w:r>
      <w:r>
        <w:rPr>
          <w:rFonts w:ascii="Times New Roman" w:hAnsi="Times New Roman" w:cs="Times New Roman"/>
          <w:color w:val="000000"/>
          <w:sz w:val="20"/>
          <w:szCs w:val="20"/>
        </w:rPr>
        <w:t>the debtor will be able to make all payments under the plan and comply with the plan.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And as pe</w:t>
      </w:r>
      <w:r>
        <w:rPr>
          <w:rFonts w:ascii="Times New Roman" w:hAnsi="Times New Roman" w:cs="Times New Roman"/>
          <w:color w:val="000000"/>
          <w:sz w:val="20"/>
          <w:szCs w:val="20"/>
        </w:rPr>
        <w:t>titioner concedes, respondent could not possibly make the payments that the mechanical approach prescribes.</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In order to avoid or at least to mitigate the harsh results that the mechanical approach may produce for de</w:t>
      </w:r>
      <w:r>
        <w:rPr>
          <w:rFonts w:ascii="Times New Roman" w:hAnsi="Times New Roman" w:cs="Times New Roman"/>
          <w:color w:val="000000"/>
          <w:sz w:val="20"/>
          <w:szCs w:val="20"/>
        </w:rPr>
        <w:t>b</w:t>
      </w:r>
      <w:r>
        <w:rPr>
          <w:rFonts w:ascii="Times New Roman" w:hAnsi="Times New Roman" w:cs="Times New Roman"/>
          <w:color w:val="000000"/>
          <w:sz w:val="20"/>
          <w:szCs w:val="20"/>
        </w:rPr>
        <w:t>tors, petitioner advances several poss</w:t>
      </w:r>
      <w:r>
        <w:rPr>
          <w:rFonts w:ascii="Times New Roman" w:hAnsi="Times New Roman" w:cs="Times New Roman"/>
          <w:color w:val="000000"/>
          <w:sz w:val="20"/>
          <w:szCs w:val="20"/>
        </w:rPr>
        <w:t>i</w:t>
      </w:r>
      <w:r>
        <w:rPr>
          <w:rFonts w:ascii="Times New Roman" w:hAnsi="Times New Roman" w:cs="Times New Roman"/>
          <w:color w:val="000000"/>
          <w:sz w:val="20"/>
          <w:szCs w:val="20"/>
        </w:rPr>
        <w:t>ble escape strategies. He proposes no comparable strategies for creditors harmed by the mechanical approach, and in any event none of the m</w:t>
      </w:r>
      <w:r>
        <w:rPr>
          <w:rFonts w:ascii="Times New Roman" w:hAnsi="Times New Roman" w:cs="Times New Roman"/>
          <w:color w:val="000000"/>
          <w:sz w:val="20"/>
          <w:szCs w:val="20"/>
        </w:rPr>
        <w:t>a</w:t>
      </w:r>
      <w:r>
        <w:rPr>
          <w:rFonts w:ascii="Times New Roman" w:hAnsi="Times New Roman" w:cs="Times New Roman"/>
          <w:color w:val="000000"/>
          <w:sz w:val="20"/>
          <w:szCs w:val="20"/>
        </w:rPr>
        <w:t>neuvers that he proposes for debtors is satisfactory.</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1</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Petitioner first suggests that a debtor may delay filing a</w:t>
      </w:r>
      <w:r>
        <w:rPr>
          <w:rFonts w:ascii="Times New Roman" w:hAnsi="Times New Roman" w:cs="Times New Roman"/>
          <w:color w:val="000000"/>
          <w:sz w:val="20"/>
          <w:szCs w:val="20"/>
        </w:rPr>
        <w:t xml:space="preserve"> petition so as to place any extraordinary income outside the 6-month look-back period. We see at least two problems with this proposal.</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First, delay is often not a viable option for a debtor sliding into bankruptcy.</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ind w:left="180" w:firstLine="180"/>
        <w:jc w:val="both"/>
        <w:rPr>
          <w:rFonts w:ascii="Times New Roman" w:hAnsi="Times New Roman" w:cs="Times New Roman"/>
          <w:color w:val="000000"/>
          <w:sz w:val="24"/>
          <w:szCs w:val="24"/>
        </w:rPr>
      </w:pPr>
      <w:r>
        <w:rPr>
          <w:rFonts w:ascii="Times New Roman" w:hAnsi="Times New Roman" w:cs="Times New Roman"/>
          <w:color w:val="000000"/>
          <w:sz w:val="20"/>
          <w:szCs w:val="20"/>
        </w:rPr>
        <w:t>“</w:t>
      </w:r>
      <w:r>
        <w:rPr>
          <w:rFonts w:ascii="Times New Roman" w:hAnsi="Times New Roman" w:cs="Times New Roman"/>
          <w:color w:val="000000"/>
          <w:sz w:val="20"/>
          <w:szCs w:val="20"/>
        </w:rPr>
        <w:t>Potential Chapter 13 debtors typical</w:t>
      </w:r>
      <w:r>
        <w:rPr>
          <w:rFonts w:ascii="Times New Roman" w:hAnsi="Times New Roman" w:cs="Times New Roman"/>
          <w:color w:val="000000"/>
          <w:sz w:val="20"/>
          <w:szCs w:val="20"/>
        </w:rPr>
        <w:t>ly find a lawyer's office when they are one step from fina</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cial Armageddon: There is a foreclosure sale of the debtor's home the next day; the debtor's only car was mysteriously repossessed in the dark of last night; a garnishment has reduced the debtor's </w:t>
      </w:r>
      <w:r>
        <w:rPr>
          <w:rFonts w:ascii="Times New Roman" w:hAnsi="Times New Roman" w:cs="Times New Roman"/>
          <w:color w:val="000000"/>
          <w:sz w:val="20"/>
          <w:szCs w:val="20"/>
        </w:rPr>
        <w:t>take-home pay below the ordinary requirements of food and rent. Instantaneous relief is expected, if not necessary.</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K. Lundin &amp; W. Brown, Chapter 13 Bankruptcy § 3.1[2] (4th ed. rev.2009), http://www.ch13online.com/Subscriber/Chapter_13_Bankruptcy_4th_ Lu</w:t>
      </w:r>
      <w:r>
        <w:rPr>
          <w:rFonts w:ascii="Times New Roman" w:hAnsi="Times New Roman" w:cs="Times New Roman"/>
          <w:color w:val="000000"/>
          <w:sz w:val="20"/>
          <w:szCs w:val="20"/>
        </w:rPr>
        <w:t>n</w:t>
      </w:r>
      <w:r>
        <w:rPr>
          <w:rFonts w:ascii="Times New Roman" w:hAnsi="Times New Roman" w:cs="Times New Roman"/>
          <w:color w:val="000000"/>
          <w:sz w:val="20"/>
          <w:szCs w:val="20"/>
        </w:rPr>
        <w:t>din_Brown.htm.</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See also </w:t>
      </w:r>
      <w:r>
        <w:rPr>
          <w:rFonts w:ascii="Times New Roman" w:hAnsi="Times New Roman" w:cs="Times New Roman"/>
          <w:i/>
          <w:iCs/>
          <w:color w:val="000000"/>
          <w:sz w:val="20"/>
          <w:szCs w:val="20"/>
        </w:rPr>
        <w:t>id.,</w:t>
      </w:r>
      <w:r>
        <w:rPr>
          <w:rFonts w:ascii="Times New Roman" w:hAnsi="Times New Roman" w:cs="Times New Roman"/>
          <w:color w:val="000000"/>
          <w:sz w:val="20"/>
          <w:szCs w:val="20"/>
        </w:rPr>
        <w:t xml:space="preserve"> § 38.1 (</w:t>
      </w:r>
      <w:r>
        <w:rPr>
          <w:rFonts w:ascii="Times New Roman" w:hAnsi="Times New Roman" w:cs="Times New Roman"/>
          <w:color w:val="000000"/>
          <w:sz w:val="20"/>
          <w:szCs w:val="20"/>
        </w:rPr>
        <w:t>“</w:t>
      </w:r>
      <w:r>
        <w:rPr>
          <w:rFonts w:ascii="Times New Roman" w:hAnsi="Times New Roman" w:cs="Times New Roman"/>
          <w:color w:val="000000"/>
          <w:sz w:val="20"/>
          <w:szCs w:val="20"/>
        </w:rPr>
        <w:t>Debtor's counsel often has little discretion when to file the Chapter 13 case</w:t>
      </w:r>
      <w:r>
        <w:rPr>
          <w:rFonts w:ascii="Times New Roman" w:hAnsi="Times New Roman" w:cs="Times New Roman"/>
          <w:color w:val="000000"/>
          <w:sz w:val="20"/>
          <w:szCs w:val="20"/>
        </w:rPr>
        <w:t>”</w:t>
      </w:r>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*11</w:t>
      </w:r>
      <w:r>
        <w:rPr>
          <w:rFonts w:ascii="Times New Roman" w:hAnsi="Times New Roman" w:cs="Times New Roman"/>
          <w:color w:val="000000"/>
          <w:sz w:val="20"/>
          <w:szCs w:val="20"/>
        </w:rPr>
        <w:t xml:space="preserve"> Second, even when a debtor is able to delay filing a petition, such delay could be risky if it gives the appearance of bad faith. </w:t>
      </w:r>
      <w:r>
        <w:rPr>
          <w:rFonts w:ascii="Times New Roman" w:hAnsi="Times New Roman" w:cs="Times New Roman"/>
          <w:color w:val="000000"/>
          <w:sz w:val="20"/>
          <w:szCs w:val="20"/>
        </w:rPr>
        <w:t xml:space="preserve">See </w:t>
      </w:r>
      <w:hyperlink r:id="rId314" w:history="1">
        <w:r>
          <w:rPr>
            <w:rFonts w:ascii="Times New Roman" w:hAnsi="Times New Roman" w:cs="Times New Roman"/>
            <w:color w:val="0000FF"/>
            <w:sz w:val="20"/>
            <w:szCs w:val="20"/>
            <w:u w:val="single"/>
          </w:rPr>
          <w:t>11 U.S.C. § 1325(a)(7)</w:t>
        </w:r>
      </w:hyperlink>
      <w:r>
        <w:rPr>
          <w:rFonts w:ascii="Times New Roman" w:hAnsi="Times New Roman" w:cs="Times New Roman"/>
          <w:color w:val="000000"/>
          <w:sz w:val="20"/>
          <w:szCs w:val="20"/>
        </w:rPr>
        <w:t xml:space="preserve"> (requiring, as a condition of confirmation, that </w:t>
      </w:r>
      <w:r>
        <w:rPr>
          <w:rFonts w:ascii="Times New Roman" w:hAnsi="Times New Roman" w:cs="Times New Roman"/>
          <w:color w:val="000000"/>
          <w:sz w:val="20"/>
          <w:szCs w:val="20"/>
        </w:rPr>
        <w:t>“</w:t>
      </w:r>
      <w:r>
        <w:rPr>
          <w:rFonts w:ascii="Times New Roman" w:hAnsi="Times New Roman" w:cs="Times New Roman"/>
          <w:color w:val="000000"/>
          <w:sz w:val="20"/>
          <w:szCs w:val="20"/>
        </w:rPr>
        <w:t>the acti</w:t>
      </w:r>
      <w:r>
        <w:rPr>
          <w:rFonts w:ascii="Times New Roman" w:hAnsi="Times New Roman" w:cs="Times New Roman"/>
          <w:color w:val="000000"/>
          <w:sz w:val="20"/>
          <w:szCs w:val="20"/>
        </w:rPr>
        <w:t>on of the debtor in filing the petition was in good faith</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see also, </w:t>
      </w:r>
      <w:r>
        <w:rPr>
          <w:rFonts w:ascii="Times New Roman" w:hAnsi="Times New Roman" w:cs="Times New Roman"/>
          <w:i/>
          <w:iCs/>
          <w:color w:val="000000"/>
          <w:sz w:val="20"/>
          <w:szCs w:val="20"/>
        </w:rPr>
        <w:t>e.g.,</w:t>
      </w:r>
      <w:r>
        <w:rPr>
          <w:rFonts w:ascii="Times New Roman" w:hAnsi="Times New Roman" w:cs="Times New Roman"/>
          <w:color w:val="000000"/>
          <w:sz w:val="20"/>
          <w:szCs w:val="20"/>
        </w:rPr>
        <w:t xml:space="preserve"> </w:t>
      </w:r>
      <w:hyperlink r:id="rId315" w:history="1">
        <w:r>
          <w:rPr>
            <w:rFonts w:ascii="Times New Roman" w:hAnsi="Times New Roman" w:cs="Times New Roman"/>
            <w:i/>
            <w:iCs/>
            <w:color w:val="0000FF"/>
            <w:sz w:val="20"/>
            <w:szCs w:val="20"/>
            <w:u w:val="single"/>
          </w:rPr>
          <w:t>In re Myers,</w:t>
        </w:r>
      </w:hyperlink>
      <w:hyperlink r:id="rId316" w:history="1">
        <w:r>
          <w:rPr>
            <w:rFonts w:ascii="Times New Roman" w:hAnsi="Times New Roman" w:cs="Times New Roman"/>
            <w:color w:val="0000FF"/>
            <w:sz w:val="20"/>
            <w:szCs w:val="20"/>
            <w:u w:val="single"/>
          </w:rPr>
          <w:t xml:space="preserve"> 491 F.3d 120, 125 (C.A.3 2007)</w:t>
        </w:r>
      </w:hyperlink>
      <w:r>
        <w:rPr>
          <w:rFonts w:ascii="Times New Roman" w:hAnsi="Times New Roman" w:cs="Times New Roman"/>
          <w:color w:val="000000"/>
          <w:sz w:val="20"/>
          <w:szCs w:val="20"/>
        </w:rPr>
        <w:t xml:space="preserve"> (citing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the timing of the petition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as a factor to be considered in assessin</w:t>
      </w:r>
      <w:r>
        <w:rPr>
          <w:rFonts w:ascii="Times New Roman" w:hAnsi="Times New Roman" w:cs="Times New Roman"/>
          <w:color w:val="000000"/>
          <w:sz w:val="20"/>
          <w:szCs w:val="20"/>
        </w:rPr>
        <w:t>g a debtor's co</w:t>
      </w:r>
      <w:r>
        <w:rPr>
          <w:rFonts w:ascii="Times New Roman" w:hAnsi="Times New Roman" w:cs="Times New Roman"/>
          <w:color w:val="000000"/>
          <w:sz w:val="20"/>
          <w:szCs w:val="20"/>
        </w:rPr>
        <w:t>m</w:t>
      </w:r>
      <w:r>
        <w:rPr>
          <w:rFonts w:ascii="Times New Roman" w:hAnsi="Times New Roman" w:cs="Times New Roman"/>
          <w:color w:val="000000"/>
          <w:sz w:val="20"/>
          <w:szCs w:val="20"/>
        </w:rPr>
        <w:t xml:space="preserve">pliance with the good-faith requirement). Accord, </w:t>
      </w:r>
      <w:hyperlink r:id="rId317" w:history="1">
        <w:r>
          <w:rPr>
            <w:rFonts w:ascii="Times New Roman" w:hAnsi="Times New Roman" w:cs="Times New Roman"/>
            <w:i/>
            <w:iCs/>
            <w:color w:val="0000FF"/>
            <w:sz w:val="20"/>
            <w:szCs w:val="20"/>
            <w:u w:val="single"/>
          </w:rPr>
          <w:t>Neufeld v. Freeman,</w:t>
        </w:r>
      </w:hyperlink>
      <w:hyperlink r:id="rId318" w:history="1">
        <w:r>
          <w:rPr>
            <w:rFonts w:ascii="Times New Roman" w:hAnsi="Times New Roman" w:cs="Times New Roman"/>
            <w:color w:val="0000FF"/>
            <w:sz w:val="20"/>
            <w:szCs w:val="20"/>
            <w:u w:val="single"/>
          </w:rPr>
          <w:t xml:space="preserve"> 794 F.2d 149, 153 (C.A.4 1986)</w:t>
        </w:r>
      </w:hyperlink>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lastRenderedPageBreak/>
        <w:t>(a debtor's prepetition conduct may inform the court's good-faith inquiry).</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2</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hyperlink w:anchor="Document1zzF122022242875" w:history="1">
        <w:r>
          <w:rPr>
            <w:rFonts w:ascii="Times New Roman" w:hAnsi="Times New Roman" w:cs="Times New Roman"/>
            <w:color w:val="0000FF"/>
            <w:sz w:val="20"/>
            <w:szCs w:val="20"/>
            <w:u w:val="single"/>
          </w:rPr>
          <w:t>[12]</w:t>
        </w:r>
      </w:hyperlink>
      <w:bookmarkStart w:id="48" w:name="Document1zzB122022242875"/>
      <w:bookmarkEnd w:id="48"/>
      <w:r>
        <w:rPr>
          <w:rFonts w:ascii="Times New Roman" w:hAnsi="Times New Roman" w:cs="Times New Roman"/>
          <w:color w:val="000000"/>
          <w:sz w:val="20"/>
          <w:szCs w:val="20"/>
        </w:rPr>
        <w:t xml:space="preserve"> Petitioner next argues that a debtor with u</w:t>
      </w:r>
      <w:r>
        <w:rPr>
          <w:rFonts w:ascii="Times New Roman" w:hAnsi="Times New Roman" w:cs="Times New Roman"/>
          <w:color w:val="000000"/>
          <w:sz w:val="20"/>
          <w:szCs w:val="20"/>
        </w:rPr>
        <w:t>n</w:t>
      </w:r>
      <w:r>
        <w:rPr>
          <w:rFonts w:ascii="Times New Roman" w:hAnsi="Times New Roman" w:cs="Times New Roman"/>
          <w:color w:val="000000"/>
          <w:sz w:val="20"/>
          <w:szCs w:val="20"/>
        </w:rPr>
        <w:t>usually high income during the 6 months prior to the filing of a petition, could seek leave to delay filing a schedul</w:t>
      </w:r>
      <w:r>
        <w:rPr>
          <w:rFonts w:ascii="Times New Roman" w:hAnsi="Times New Roman" w:cs="Times New Roman"/>
          <w:color w:val="000000"/>
          <w:sz w:val="20"/>
          <w:szCs w:val="20"/>
        </w:rPr>
        <w:t xml:space="preserve">e of current income (Schedule I) and then ask the bankruptcy court to exercise its authority under </w:t>
      </w:r>
      <w:hyperlink r:id="rId319" w:history="1">
        <w:r>
          <w:rPr>
            <w:rFonts w:ascii="Times New Roman" w:hAnsi="Times New Roman" w:cs="Times New Roman"/>
            <w:color w:val="0000FF"/>
            <w:sz w:val="20"/>
            <w:szCs w:val="20"/>
            <w:u w:val="single"/>
          </w:rPr>
          <w:t>§ 101(10A)(A)(ii)</w:t>
        </w:r>
      </w:hyperlink>
      <w:r>
        <w:rPr>
          <w:rFonts w:ascii="Times New Roman" w:hAnsi="Times New Roman" w:cs="Times New Roman"/>
          <w:color w:val="000000"/>
          <w:sz w:val="20"/>
          <w:szCs w:val="20"/>
        </w:rPr>
        <w:t xml:space="preserve"> to select a 6-month period that is more representative of the debtor's future disposable income. We see little merit in this convoluted strategy. If the Code required the use of the mechanical a</w:t>
      </w:r>
      <w:r>
        <w:rPr>
          <w:rFonts w:ascii="Times New Roman" w:hAnsi="Times New Roman" w:cs="Times New Roman"/>
          <w:color w:val="000000"/>
          <w:sz w:val="20"/>
          <w:szCs w:val="20"/>
        </w:rPr>
        <w:t>p</w:t>
      </w:r>
      <w:r>
        <w:rPr>
          <w:rFonts w:ascii="Times New Roman" w:hAnsi="Times New Roman" w:cs="Times New Roman"/>
          <w:color w:val="000000"/>
          <w:sz w:val="20"/>
          <w:szCs w:val="20"/>
        </w:rPr>
        <w:t>proach in all cases, this stra</w:t>
      </w:r>
      <w:r>
        <w:rPr>
          <w:rFonts w:ascii="Times New Roman" w:hAnsi="Times New Roman" w:cs="Times New Roman"/>
          <w:color w:val="000000"/>
          <w:sz w:val="20"/>
          <w:szCs w:val="20"/>
        </w:rPr>
        <w:t>tegy would improperly undermine what the Code demands. And if, as we believe, the Code does not insist upon rigid adherence to the mechanical approach in all cases, this strategy is not needed. In any event, even if this strategy were allowed, it would not</w:t>
      </w:r>
      <w:r>
        <w:rPr>
          <w:rFonts w:ascii="Times New Roman" w:hAnsi="Times New Roman" w:cs="Times New Roman"/>
          <w:color w:val="000000"/>
          <w:sz w:val="20"/>
          <w:szCs w:val="20"/>
        </w:rPr>
        <w:t xml:space="preserve"> help all debtors whose dispos</w:t>
      </w:r>
      <w:r>
        <w:rPr>
          <w:rFonts w:ascii="Times New Roman" w:hAnsi="Times New Roman" w:cs="Times New Roman"/>
          <w:color w:val="000000"/>
          <w:sz w:val="20"/>
          <w:szCs w:val="20"/>
        </w:rPr>
        <w:t>a</w:t>
      </w:r>
      <w:r>
        <w:rPr>
          <w:rFonts w:ascii="Times New Roman" w:hAnsi="Times New Roman" w:cs="Times New Roman"/>
          <w:color w:val="000000"/>
          <w:sz w:val="20"/>
          <w:szCs w:val="20"/>
        </w:rPr>
        <w:t>ble income during the plan period is sharply lower than their previous disposable income.</w:t>
      </w:r>
      <w:hyperlink w:anchor="Document1zzB00762022242875" w:history="1">
        <w:r>
          <w:rPr>
            <w:rFonts w:ascii="Times New Roman" w:hAnsi="Times New Roman" w:cs="Times New Roman"/>
            <w:color w:val="0000FF"/>
            <w:sz w:val="20"/>
            <w:szCs w:val="20"/>
            <w:u w:val="single"/>
            <w:vertAlign w:val="superscript"/>
          </w:rPr>
          <w:t>FN6</w:t>
        </w:r>
      </w:hyperlink>
      <w:bookmarkStart w:id="49" w:name="Document1zzF00762022242875"/>
      <w:bookmarkEnd w:id="49"/>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ind w:left="720"/>
        <w:jc w:val="both"/>
        <w:rPr>
          <w:rFonts w:ascii="Times New Roman" w:hAnsi="Times New Roman" w:cs="Times New Roman"/>
          <w:color w:val="000000"/>
          <w:sz w:val="24"/>
          <w:szCs w:val="24"/>
        </w:rPr>
      </w:pPr>
      <w:hyperlink w:anchor="Document1zzF00762022242875" w:history="1">
        <w:r>
          <w:rPr>
            <w:rFonts w:ascii="Times New Roman" w:hAnsi="Times New Roman" w:cs="Times New Roman"/>
            <w:color w:val="0000FF"/>
            <w:sz w:val="20"/>
            <w:szCs w:val="20"/>
            <w:u w:val="single"/>
          </w:rPr>
          <w:t>FN6.</w:t>
        </w:r>
      </w:hyperlink>
      <w:bookmarkStart w:id="50" w:name="Document1zzB00762022242875"/>
      <w:bookmarkEnd w:id="50"/>
      <w:r>
        <w:rPr>
          <w:rFonts w:ascii="Times New Roman" w:hAnsi="Times New Roman" w:cs="Times New Roman"/>
          <w:color w:val="000000"/>
          <w:sz w:val="20"/>
          <w:szCs w:val="20"/>
        </w:rPr>
        <w:t xml:space="preserve"> Under </w:t>
      </w:r>
      <w:hyperlink r:id="rId320" w:history="1">
        <w:r>
          <w:rPr>
            <w:rFonts w:ascii="Times New Roman" w:hAnsi="Times New Roman" w:cs="Times New Roman"/>
            <w:color w:val="0000FF"/>
            <w:sz w:val="20"/>
            <w:szCs w:val="20"/>
            <w:u w:val="single"/>
          </w:rPr>
          <w:t>11 U.S.C. § 521(i</w:t>
        </w:r>
        <w:r>
          <w:rPr>
            <w:rFonts w:ascii="Times New Roman" w:hAnsi="Times New Roman" w:cs="Times New Roman"/>
            <w:color w:val="0000FF"/>
            <w:sz w:val="20"/>
            <w:szCs w:val="20"/>
            <w:u w:val="single"/>
          </w:rPr>
          <w:t>)(3)</w:t>
        </w:r>
      </w:hyperlink>
      <w:r>
        <w:rPr>
          <w:rFonts w:ascii="Times New Roman" w:hAnsi="Times New Roman" w:cs="Times New Roman"/>
          <w:color w:val="000000"/>
          <w:sz w:val="20"/>
          <w:szCs w:val="20"/>
        </w:rPr>
        <w:t>, a debtor seeking additional time to file a schedule of income must submit the request within 45 days after filing the petition, and the court may not grant an extension of more than 45 days.</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3</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Petitioner suggests that a debtor can dismiss the pe</w:t>
      </w:r>
      <w:r>
        <w:rPr>
          <w:rFonts w:ascii="Times New Roman" w:hAnsi="Times New Roman" w:cs="Times New Roman"/>
          <w:color w:val="000000"/>
          <w:sz w:val="20"/>
          <w:szCs w:val="20"/>
        </w:rPr>
        <w:t>t</w:t>
      </w:r>
      <w:r>
        <w:rPr>
          <w:rFonts w:ascii="Times New Roman" w:hAnsi="Times New Roman" w:cs="Times New Roman"/>
          <w:color w:val="000000"/>
          <w:sz w:val="20"/>
          <w:szCs w:val="20"/>
        </w:rPr>
        <w:t>i</w:t>
      </w:r>
      <w:r>
        <w:rPr>
          <w:rFonts w:ascii="Times New Roman" w:hAnsi="Times New Roman" w:cs="Times New Roman"/>
          <w:color w:val="000000"/>
          <w:sz w:val="20"/>
          <w:szCs w:val="20"/>
        </w:rPr>
        <w:t xml:space="preserve">tion and refile at a later, more favorable date. But petitioner offers only the tepid assurance that courts </w:t>
      </w:r>
      <w:r>
        <w:rPr>
          <w:rFonts w:ascii="Times New Roman" w:hAnsi="Times New Roman" w:cs="Times New Roman"/>
          <w:color w:val="000000"/>
          <w:sz w:val="20"/>
          <w:szCs w:val="20"/>
        </w:rPr>
        <w:t>“</w:t>
      </w:r>
      <w:r>
        <w:rPr>
          <w:rFonts w:ascii="Times New Roman" w:hAnsi="Times New Roman" w:cs="Times New Roman"/>
          <w:color w:val="000000"/>
          <w:sz w:val="20"/>
          <w:szCs w:val="20"/>
        </w:rPr>
        <w:t>generally</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do not find this practice to be abusive. Brief for Petitioner 53. This questionable stratagem plainly circumvents the stat</w:t>
      </w:r>
      <w:r>
        <w:rPr>
          <w:rFonts w:ascii="Times New Roman" w:hAnsi="Times New Roman" w:cs="Times New Roman"/>
          <w:color w:val="000000"/>
          <w:sz w:val="20"/>
          <w:szCs w:val="20"/>
        </w:rPr>
        <w:t>u</w:t>
      </w:r>
      <w:r>
        <w:rPr>
          <w:rFonts w:ascii="Times New Roman" w:hAnsi="Times New Roman" w:cs="Times New Roman"/>
          <w:color w:val="000000"/>
          <w:sz w:val="20"/>
          <w:szCs w:val="20"/>
        </w:rPr>
        <w:t>tory limits</w:t>
      </w:r>
      <w:r>
        <w:rPr>
          <w:rFonts w:ascii="Times New Roman" w:hAnsi="Times New Roman" w:cs="Times New Roman"/>
          <w:color w:val="000000"/>
          <w:sz w:val="20"/>
          <w:szCs w:val="20"/>
        </w:rPr>
        <w:t xml:space="preserve"> on a court's ability to shift the look-back period, see </w:t>
      </w:r>
      <w:r>
        <w:rPr>
          <w:rFonts w:ascii="Times New Roman" w:hAnsi="Times New Roman" w:cs="Times New Roman"/>
          <w:i/>
          <w:iCs/>
          <w:color w:val="000000"/>
          <w:sz w:val="20"/>
          <w:szCs w:val="20"/>
        </w:rPr>
        <w:t>supra,</w:t>
      </w:r>
      <w:r>
        <w:rPr>
          <w:rFonts w:ascii="Times New Roman" w:hAnsi="Times New Roman" w:cs="Times New Roman"/>
          <w:color w:val="000000"/>
          <w:sz w:val="20"/>
          <w:szCs w:val="20"/>
        </w:rPr>
        <w:t xml:space="preserve"> at ----, and n. 6, and should give debtors pause.</w:t>
      </w:r>
      <w:hyperlink w:anchor="Document1zzB00872022242875" w:history="1">
        <w:r>
          <w:rPr>
            <w:rFonts w:ascii="Times New Roman" w:hAnsi="Times New Roman" w:cs="Times New Roman"/>
            <w:color w:val="0000FF"/>
            <w:sz w:val="20"/>
            <w:szCs w:val="20"/>
            <w:u w:val="single"/>
            <w:vertAlign w:val="superscript"/>
          </w:rPr>
          <w:t>FN7</w:t>
        </w:r>
      </w:hyperlink>
      <w:bookmarkStart w:id="51" w:name="Document1zzF00872022242875"/>
      <w:bookmarkEnd w:id="51"/>
      <w:r>
        <w:rPr>
          <w:rFonts w:ascii="Times New Roman" w:hAnsi="Times New Roman" w:cs="Times New Roman"/>
          <w:color w:val="000000"/>
          <w:sz w:val="20"/>
          <w:szCs w:val="20"/>
        </w:rPr>
        <w:t xml:space="preserve"> Cf. </w:t>
      </w:r>
      <w:hyperlink r:id="rId321" w:history="1">
        <w:r>
          <w:rPr>
            <w:rFonts w:ascii="Times New Roman" w:hAnsi="Times New Roman" w:cs="Times New Roman"/>
            <w:i/>
            <w:iCs/>
            <w:color w:val="0000FF"/>
            <w:sz w:val="20"/>
            <w:szCs w:val="20"/>
            <w:u w:val="single"/>
          </w:rPr>
          <w:t>In re Glenn,</w:t>
        </w:r>
      </w:hyperlink>
      <w:hyperlink r:id="rId322" w:history="1">
        <w:r>
          <w:rPr>
            <w:rFonts w:ascii="Times New Roman" w:hAnsi="Times New Roman" w:cs="Times New Roman"/>
            <w:color w:val="0000FF"/>
            <w:sz w:val="20"/>
            <w:szCs w:val="20"/>
            <w:u w:val="single"/>
          </w:rPr>
          <w:t xml:space="preserve"> 288 B.R. 516, 520 (Bkrtcy.E.D.Tenn.2002)</w:t>
        </w:r>
      </w:hyperlink>
      <w:r>
        <w:rPr>
          <w:rFonts w:ascii="Times New Roman" w:hAnsi="Times New Roman" w:cs="Times New Roman"/>
          <w:color w:val="000000"/>
          <w:sz w:val="20"/>
          <w:szCs w:val="20"/>
        </w:rPr>
        <w:t xml:space="preserve"> (noting that courts should consider, among other fa</w:t>
      </w:r>
      <w:r>
        <w:rPr>
          <w:rFonts w:ascii="Times New Roman" w:hAnsi="Times New Roman" w:cs="Times New Roman"/>
          <w:color w:val="000000"/>
          <w:sz w:val="20"/>
          <w:szCs w:val="20"/>
        </w:rPr>
        <w:t>c</w:t>
      </w:r>
      <w:r>
        <w:rPr>
          <w:rFonts w:ascii="Times New Roman" w:hAnsi="Times New Roman" w:cs="Times New Roman"/>
          <w:color w:val="000000"/>
          <w:sz w:val="20"/>
          <w:szCs w:val="20"/>
        </w:rPr>
        <w:t xml:space="preserve">tors, </w:t>
      </w:r>
      <w:r>
        <w:rPr>
          <w:rFonts w:ascii="Times New Roman" w:hAnsi="Times New Roman" w:cs="Times New Roman"/>
          <w:color w:val="000000"/>
          <w:sz w:val="20"/>
          <w:szCs w:val="20"/>
        </w:rPr>
        <w:t>“</w:t>
      </w:r>
      <w:r>
        <w:rPr>
          <w:rFonts w:ascii="Times New Roman" w:hAnsi="Times New Roman" w:cs="Times New Roman"/>
          <w:color w:val="000000"/>
          <w:sz w:val="20"/>
          <w:szCs w:val="20"/>
        </w:rPr>
        <w:t>whether this is the first or [a] subsequent f</w:t>
      </w:r>
      <w:r>
        <w:rPr>
          <w:rFonts w:ascii="Times New Roman" w:hAnsi="Times New Roman" w:cs="Times New Roman"/>
          <w:color w:val="000000"/>
          <w:sz w:val="20"/>
          <w:szCs w:val="20"/>
        </w:rPr>
        <w:t>i</w:t>
      </w:r>
      <w:r>
        <w:rPr>
          <w:rFonts w:ascii="Times New Roman" w:hAnsi="Times New Roman" w:cs="Times New Roman"/>
          <w:color w:val="000000"/>
          <w:sz w:val="20"/>
          <w:szCs w:val="20"/>
        </w:rPr>
        <w:t>lin[g]</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when assessing a debtor's compliance with the good-faith requirement).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ind w:left="720"/>
        <w:jc w:val="both"/>
        <w:rPr>
          <w:rFonts w:ascii="Times New Roman" w:hAnsi="Times New Roman" w:cs="Times New Roman"/>
          <w:color w:val="000000"/>
          <w:sz w:val="24"/>
          <w:szCs w:val="24"/>
        </w:rPr>
      </w:pPr>
      <w:hyperlink w:anchor="Document1zzF00872022242875" w:history="1">
        <w:r>
          <w:rPr>
            <w:rFonts w:ascii="Times New Roman" w:hAnsi="Times New Roman" w:cs="Times New Roman"/>
            <w:color w:val="0000FF"/>
            <w:sz w:val="20"/>
            <w:szCs w:val="20"/>
            <w:u w:val="single"/>
          </w:rPr>
          <w:t>FN7.</w:t>
        </w:r>
      </w:hyperlink>
      <w:bookmarkStart w:id="52" w:name="Document1zzB00872022242875"/>
      <w:bookmarkEnd w:id="52"/>
      <w:r>
        <w:rPr>
          <w:rFonts w:ascii="Times New Roman" w:hAnsi="Times New Roman" w:cs="Times New Roman"/>
          <w:color w:val="000000"/>
          <w:sz w:val="20"/>
          <w:szCs w:val="20"/>
        </w:rPr>
        <w:t xml:space="preserve"> For example, a debtor otherwise elig</w:t>
      </w:r>
      <w:r>
        <w:rPr>
          <w:rFonts w:ascii="Times New Roman" w:hAnsi="Times New Roman" w:cs="Times New Roman"/>
          <w:color w:val="000000"/>
          <w:sz w:val="20"/>
          <w:szCs w:val="20"/>
        </w:rPr>
        <w:t>i</w:t>
      </w:r>
      <w:r>
        <w:rPr>
          <w:rFonts w:ascii="Times New Roman" w:hAnsi="Times New Roman" w:cs="Times New Roman"/>
          <w:color w:val="000000"/>
          <w:sz w:val="20"/>
          <w:szCs w:val="20"/>
        </w:rPr>
        <w:t xml:space="preserve">ble for Chapter 13 protection may become ineligible if </w:t>
      </w:r>
      <w:r>
        <w:rPr>
          <w:rFonts w:ascii="Times New Roman" w:hAnsi="Times New Roman" w:cs="Times New Roman"/>
          <w:color w:val="000000"/>
          <w:sz w:val="20"/>
          <w:szCs w:val="20"/>
        </w:rPr>
        <w:t>“</w:t>
      </w:r>
      <w:r>
        <w:rPr>
          <w:rFonts w:ascii="Times New Roman" w:hAnsi="Times New Roman" w:cs="Times New Roman"/>
          <w:color w:val="000000"/>
          <w:sz w:val="20"/>
          <w:szCs w:val="20"/>
        </w:rPr>
        <w:t>at any time in the preceding 180 days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the case was dismissed b</w:t>
      </w:r>
      <w:r>
        <w:rPr>
          <w:rFonts w:ascii="Times New Roman" w:hAnsi="Times New Roman" w:cs="Times New Roman"/>
          <w:color w:val="000000"/>
          <w:sz w:val="20"/>
          <w:szCs w:val="20"/>
        </w:rPr>
        <w:t xml:space="preserve">y the court for willful failure of the debtor to abide by </w:t>
      </w:r>
      <w:r>
        <w:rPr>
          <w:rFonts w:ascii="Times New Roman" w:hAnsi="Times New Roman" w:cs="Times New Roman"/>
          <w:color w:val="000000"/>
          <w:sz w:val="20"/>
          <w:szCs w:val="20"/>
        </w:rPr>
        <w:lastRenderedPageBreak/>
        <w:t>orders of the court, or to appear before the court in proper prosecution of the case,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or </w:t>
      </w:r>
      <w:r>
        <w:rPr>
          <w:rFonts w:ascii="Times New Roman" w:hAnsi="Times New Roman" w:cs="Times New Roman"/>
          <w:color w:val="000000"/>
          <w:sz w:val="20"/>
          <w:szCs w:val="20"/>
        </w:rPr>
        <w:t>“</w:t>
      </w:r>
      <w:r>
        <w:rPr>
          <w:rFonts w:ascii="Times New Roman" w:hAnsi="Times New Roman" w:cs="Times New Roman"/>
          <w:color w:val="000000"/>
          <w:sz w:val="20"/>
          <w:szCs w:val="20"/>
        </w:rPr>
        <w:t>the debtor requested and obtained the v</w:t>
      </w:r>
      <w:r>
        <w:rPr>
          <w:rFonts w:ascii="Times New Roman" w:hAnsi="Times New Roman" w:cs="Times New Roman"/>
          <w:color w:val="000000"/>
          <w:sz w:val="20"/>
          <w:szCs w:val="20"/>
        </w:rPr>
        <w:t>o</w:t>
      </w:r>
      <w:r>
        <w:rPr>
          <w:rFonts w:ascii="Times New Roman" w:hAnsi="Times New Roman" w:cs="Times New Roman"/>
          <w:color w:val="000000"/>
          <w:sz w:val="20"/>
          <w:szCs w:val="20"/>
        </w:rPr>
        <w:t>luntary dismissal of the case following the filing of a request for</w:t>
      </w:r>
      <w:r>
        <w:rPr>
          <w:rFonts w:ascii="Times New Roman" w:hAnsi="Times New Roman" w:cs="Times New Roman"/>
          <w:color w:val="000000"/>
          <w:sz w:val="20"/>
          <w:szCs w:val="20"/>
        </w:rPr>
        <w:t xml:space="preserve"> relief from the aut</w:t>
      </w:r>
      <w:r>
        <w:rPr>
          <w:rFonts w:ascii="Times New Roman" w:hAnsi="Times New Roman" w:cs="Times New Roman"/>
          <w:color w:val="000000"/>
          <w:sz w:val="20"/>
          <w:szCs w:val="20"/>
        </w:rPr>
        <w:t>o</w:t>
      </w:r>
      <w:r>
        <w:rPr>
          <w:rFonts w:ascii="Times New Roman" w:hAnsi="Times New Roman" w:cs="Times New Roman"/>
          <w:color w:val="000000"/>
          <w:sz w:val="20"/>
          <w:szCs w:val="20"/>
        </w:rPr>
        <w:t>matic stay provided by section 362 of this title.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323" w:history="1">
        <w:r>
          <w:rPr>
            <w:rFonts w:ascii="Times New Roman" w:hAnsi="Times New Roman" w:cs="Times New Roman"/>
            <w:color w:val="0000FF"/>
            <w:sz w:val="20"/>
            <w:szCs w:val="20"/>
            <w:u w:val="single"/>
          </w:rPr>
          <w:t>§ 109(g)</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4</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Petitioner argues that respondent might have been able to obtain relief by filing under Chapter 7 or by co</w:t>
      </w:r>
      <w:r>
        <w:rPr>
          <w:rFonts w:ascii="Times New Roman" w:hAnsi="Times New Roman" w:cs="Times New Roman"/>
          <w:color w:val="000000"/>
          <w:sz w:val="20"/>
          <w:szCs w:val="20"/>
        </w:rPr>
        <w:t>n</w:t>
      </w:r>
      <w:r>
        <w:rPr>
          <w:rFonts w:ascii="Times New Roman" w:hAnsi="Times New Roman" w:cs="Times New Roman"/>
          <w:color w:val="000000"/>
          <w:sz w:val="20"/>
          <w:szCs w:val="20"/>
        </w:rPr>
        <w:t>verting her Chapter 13 petition to one under Chapter 7. The availability of Chapter 7 to debtors like respo</w:t>
      </w:r>
      <w:r>
        <w:rPr>
          <w:rFonts w:ascii="Times New Roman" w:hAnsi="Times New Roman" w:cs="Times New Roman"/>
          <w:color w:val="000000"/>
          <w:sz w:val="20"/>
          <w:szCs w:val="20"/>
        </w:rPr>
        <w:t>n</w:t>
      </w:r>
      <w:r>
        <w:rPr>
          <w:rFonts w:ascii="Times New Roman" w:hAnsi="Times New Roman" w:cs="Times New Roman"/>
          <w:color w:val="000000"/>
          <w:sz w:val="20"/>
          <w:szCs w:val="20"/>
        </w:rPr>
        <w:t>dent who have above-median incomes is lim</w:t>
      </w:r>
      <w:r>
        <w:rPr>
          <w:rFonts w:ascii="Times New Roman" w:hAnsi="Times New Roman" w:cs="Times New Roman"/>
          <w:color w:val="000000"/>
          <w:sz w:val="20"/>
          <w:szCs w:val="20"/>
        </w:rPr>
        <w:t>ited. In respondent's case, a presumption of abuse would a</w:t>
      </w:r>
      <w:r>
        <w:rPr>
          <w:rFonts w:ascii="Times New Roman" w:hAnsi="Times New Roman" w:cs="Times New Roman"/>
          <w:color w:val="000000"/>
          <w:sz w:val="20"/>
          <w:szCs w:val="20"/>
        </w:rPr>
        <w:t>t</w:t>
      </w:r>
      <w:r>
        <w:rPr>
          <w:rFonts w:ascii="Times New Roman" w:hAnsi="Times New Roman" w:cs="Times New Roman"/>
          <w:color w:val="000000"/>
          <w:sz w:val="20"/>
          <w:szCs w:val="20"/>
        </w:rPr>
        <w:t xml:space="preserve">tach under </w:t>
      </w:r>
      <w:hyperlink r:id="rId324" w:history="1">
        <w:r>
          <w:rPr>
            <w:rFonts w:ascii="Times New Roman" w:hAnsi="Times New Roman" w:cs="Times New Roman"/>
            <w:color w:val="0000FF"/>
            <w:sz w:val="20"/>
            <w:szCs w:val="20"/>
            <w:u w:val="single"/>
          </w:rPr>
          <w:t>§ 707(b)(2)(A)(i)</w:t>
        </w:r>
      </w:hyperlink>
      <w:r>
        <w:rPr>
          <w:rFonts w:ascii="Times New Roman" w:hAnsi="Times New Roman" w:cs="Times New Roman"/>
          <w:color w:val="000000"/>
          <w:sz w:val="20"/>
          <w:szCs w:val="20"/>
        </w:rPr>
        <w:t xml:space="preserve"> because her disposable income, </w:t>
      </w:r>
      <w:r>
        <w:rPr>
          <w:rFonts w:ascii="Times New Roman" w:hAnsi="Times New Roman" w:cs="Times New Roman"/>
          <w:color w:val="000000"/>
          <w:sz w:val="20"/>
          <w:szCs w:val="20"/>
        </w:rPr>
        <w:t>“</w:t>
      </w:r>
      <w:r>
        <w:rPr>
          <w:rFonts w:ascii="Times New Roman" w:hAnsi="Times New Roman" w:cs="Times New Roman"/>
          <w:color w:val="000000"/>
          <w:sz w:val="20"/>
          <w:szCs w:val="20"/>
        </w:rPr>
        <w:t>multiplied by 60,</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exceeds the amounts specified in subclauses (I) and (II). See also </w:t>
      </w:r>
      <w:hyperlink r:id="rId325" w:history="1">
        <w:r>
          <w:rPr>
            <w:rFonts w:ascii="Times New Roman" w:hAnsi="Times New Roman" w:cs="Times New Roman"/>
            <w:color w:val="0000FF"/>
            <w:sz w:val="20"/>
            <w:szCs w:val="20"/>
            <w:u w:val="single"/>
          </w:rPr>
          <w:t>§ 707(b)(1)</w:t>
        </w:r>
      </w:hyperlink>
      <w:r>
        <w:rPr>
          <w:rFonts w:ascii="Times New Roman" w:hAnsi="Times New Roman" w:cs="Times New Roman"/>
          <w:color w:val="000000"/>
          <w:sz w:val="20"/>
          <w:szCs w:val="20"/>
        </w:rPr>
        <w:t xml:space="preserve"> (allowing a court to dismiss a petition filed by a debtor </w:t>
      </w:r>
      <w:r>
        <w:rPr>
          <w:rFonts w:ascii="Times New Roman" w:hAnsi="Times New Roman" w:cs="Times New Roman"/>
          <w:color w:val="000000"/>
          <w:sz w:val="20"/>
          <w:szCs w:val="20"/>
        </w:rPr>
        <w:t>“</w:t>
      </w:r>
      <w:r>
        <w:rPr>
          <w:rFonts w:ascii="Times New Roman" w:hAnsi="Times New Roman" w:cs="Times New Roman"/>
          <w:color w:val="000000"/>
          <w:sz w:val="20"/>
          <w:szCs w:val="20"/>
        </w:rPr>
        <w:t>whose debts are primarily consumer debts ... if it finds that the granting of relief would be an abuse of the provisions of this chapter</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App. 86-88 </w:t>
      </w:r>
      <w:r>
        <w:rPr>
          <w:rFonts w:ascii="Times New Roman" w:hAnsi="Times New Roman" w:cs="Times New Roman"/>
          <w:color w:val="000000"/>
          <w:sz w:val="20"/>
          <w:szCs w:val="20"/>
        </w:rPr>
        <w:t>(</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Notice to Individual Consumer Debtor under </w:t>
      </w:r>
      <w:hyperlink r:id="rId326" w:history="1">
        <w:r>
          <w:rPr>
            <w:rFonts w:ascii="Times New Roman" w:hAnsi="Times New Roman" w:cs="Times New Roman"/>
            <w:color w:val="0000FF"/>
            <w:sz w:val="20"/>
            <w:szCs w:val="20"/>
            <w:u w:val="single"/>
          </w:rPr>
          <w:t>§ 342(b) of the Bankruptcy Code</w:t>
        </w:r>
      </w:hyperlink>
      <w:r>
        <w:rPr>
          <w:rFonts w:ascii="Times New Roman" w:hAnsi="Times New Roman" w:cs="Times New Roman"/>
          <w:color w:val="000000"/>
          <w:sz w:val="20"/>
          <w:szCs w:val="20"/>
        </w:rPr>
        <w:t>”</w:t>
      </w:r>
      <w:r>
        <w:rPr>
          <w:rFonts w:ascii="Times New Roman" w:hAnsi="Times New Roman" w:cs="Times New Roman"/>
          <w:color w:val="000000"/>
          <w:sz w:val="20"/>
          <w:szCs w:val="20"/>
        </w:rPr>
        <w:t>)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If your income is greater than the median income for your state </w:t>
      </w:r>
      <w:r>
        <w:rPr>
          <w:rFonts w:ascii="Times New Roman" w:hAnsi="Times New Roman" w:cs="Times New Roman"/>
          <w:color w:val="000000"/>
          <w:sz w:val="20"/>
          <w:szCs w:val="20"/>
        </w:rPr>
        <w:t>of re</w:t>
      </w:r>
      <w:r>
        <w:rPr>
          <w:rFonts w:ascii="Times New Roman" w:hAnsi="Times New Roman" w:cs="Times New Roman"/>
          <w:color w:val="000000"/>
          <w:sz w:val="20"/>
          <w:szCs w:val="20"/>
        </w:rPr>
        <w:t>s</w:t>
      </w:r>
      <w:r>
        <w:rPr>
          <w:rFonts w:ascii="Times New Roman" w:hAnsi="Times New Roman" w:cs="Times New Roman"/>
          <w:color w:val="000000"/>
          <w:sz w:val="20"/>
          <w:szCs w:val="20"/>
        </w:rPr>
        <w:t xml:space="preserve">idence and family size, in some cases, creditors have the right to file a motion requesting that the court dismiss your case under </w:t>
      </w:r>
      <w:hyperlink r:id="rId327" w:history="1">
        <w:r>
          <w:rPr>
            <w:rFonts w:ascii="Times New Roman" w:hAnsi="Times New Roman" w:cs="Times New Roman"/>
            <w:color w:val="0000FF"/>
            <w:sz w:val="20"/>
            <w:szCs w:val="20"/>
            <w:u w:val="single"/>
          </w:rPr>
          <w:t>§ 707(b)</w:t>
        </w:r>
      </w:hyperlink>
      <w:r>
        <w:rPr>
          <w:rFonts w:ascii="Times New Roman" w:hAnsi="Times New Roman" w:cs="Times New Roman"/>
          <w:color w:val="000000"/>
          <w:sz w:val="20"/>
          <w:szCs w:val="20"/>
        </w:rPr>
        <w:t xml:space="preserve"> of the Code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Nevertheless, petitioner argues, respondent might have been able to overcome this presumption by claiming that her case involves </w:t>
      </w:r>
      <w:r>
        <w:rPr>
          <w:rFonts w:ascii="Times New Roman" w:hAnsi="Times New Roman" w:cs="Times New Roman"/>
          <w:color w:val="000000"/>
          <w:sz w:val="20"/>
          <w:szCs w:val="20"/>
        </w:rPr>
        <w:t>“</w:t>
      </w:r>
      <w:r>
        <w:rPr>
          <w:rFonts w:ascii="Times New Roman" w:hAnsi="Times New Roman" w:cs="Times New Roman"/>
          <w:color w:val="000000"/>
          <w:sz w:val="20"/>
          <w:szCs w:val="20"/>
        </w:rPr>
        <w:t>special circum</w:t>
      </w:r>
      <w:r>
        <w:rPr>
          <w:rFonts w:ascii="Times New Roman" w:hAnsi="Times New Roman" w:cs="Times New Roman"/>
          <w:color w:val="000000"/>
          <w:sz w:val="20"/>
          <w:szCs w:val="20"/>
        </w:rPr>
        <w:t>s</w:t>
      </w:r>
      <w:r>
        <w:rPr>
          <w:rFonts w:ascii="Times New Roman" w:hAnsi="Times New Roman" w:cs="Times New Roman"/>
          <w:color w:val="000000"/>
          <w:sz w:val="20"/>
          <w:szCs w:val="20"/>
        </w:rPr>
        <w:t>tances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within the meaning of </w:t>
      </w:r>
      <w:hyperlink r:id="rId328" w:history="1">
        <w:r>
          <w:rPr>
            <w:rFonts w:ascii="Times New Roman" w:hAnsi="Times New Roman" w:cs="Times New Roman"/>
            <w:color w:val="0000FF"/>
            <w:sz w:val="20"/>
            <w:szCs w:val="20"/>
            <w:u w:val="single"/>
          </w:rPr>
          <w:t>§ 707(b)(2)(B)(i)</w:t>
        </w:r>
      </w:hyperlink>
      <w:r>
        <w:rPr>
          <w:rFonts w:ascii="Times New Roman" w:hAnsi="Times New Roman" w:cs="Times New Roman"/>
          <w:color w:val="000000"/>
          <w:sz w:val="20"/>
          <w:szCs w:val="20"/>
        </w:rPr>
        <w:t xml:space="preserve">. </w:t>
      </w:r>
      <w:hyperlink r:id="rId329" w:history="1">
        <w:r>
          <w:rPr>
            <w:rFonts w:ascii="Times New Roman" w:hAnsi="Times New Roman" w:cs="Times New Roman"/>
            <w:color w:val="0000FF"/>
            <w:sz w:val="20"/>
            <w:szCs w:val="20"/>
            <w:u w:val="single"/>
          </w:rPr>
          <w:t>Se</w:t>
        </w:r>
        <w:r>
          <w:rPr>
            <w:rFonts w:ascii="Times New Roman" w:hAnsi="Times New Roman" w:cs="Times New Roman"/>
            <w:color w:val="0000FF"/>
            <w:sz w:val="20"/>
            <w:szCs w:val="20"/>
            <w:u w:val="single"/>
          </w:rPr>
          <w:t>c</w:t>
        </w:r>
        <w:r>
          <w:rPr>
            <w:rFonts w:ascii="Times New Roman" w:hAnsi="Times New Roman" w:cs="Times New Roman"/>
            <w:color w:val="0000FF"/>
            <w:sz w:val="20"/>
            <w:szCs w:val="20"/>
            <w:u w:val="single"/>
          </w:rPr>
          <w:t>tion 707</w:t>
        </w:r>
      </w:hyperlink>
      <w:r>
        <w:rPr>
          <w:rFonts w:ascii="Times New Roman" w:hAnsi="Times New Roman" w:cs="Times New Roman"/>
          <w:color w:val="000000"/>
          <w:sz w:val="20"/>
          <w:szCs w:val="20"/>
        </w:rPr>
        <w:t xml:space="preserve"> identifie</w:t>
      </w:r>
      <w:r>
        <w:rPr>
          <w:rFonts w:ascii="Times New Roman" w:hAnsi="Times New Roman" w:cs="Times New Roman"/>
          <w:color w:val="000000"/>
          <w:sz w:val="20"/>
          <w:szCs w:val="20"/>
        </w:rPr>
        <w:t xml:space="preserve">s as examples of </w:t>
      </w:r>
      <w:r>
        <w:rPr>
          <w:rFonts w:ascii="Times New Roman" w:hAnsi="Times New Roman" w:cs="Times New Roman"/>
          <w:color w:val="000000"/>
          <w:sz w:val="20"/>
          <w:szCs w:val="20"/>
        </w:rPr>
        <w:t>“</w:t>
      </w:r>
      <w:r>
        <w:rPr>
          <w:rFonts w:ascii="Times New Roman" w:hAnsi="Times New Roman" w:cs="Times New Roman"/>
          <w:color w:val="000000"/>
          <w:sz w:val="20"/>
          <w:szCs w:val="20"/>
        </w:rPr>
        <w:t>special circum</w:t>
      </w:r>
      <w:r>
        <w:rPr>
          <w:rFonts w:ascii="Times New Roman" w:hAnsi="Times New Roman" w:cs="Times New Roman"/>
          <w:color w:val="000000"/>
          <w:sz w:val="20"/>
          <w:szCs w:val="20"/>
        </w:rPr>
        <w:t>s</w:t>
      </w:r>
      <w:r>
        <w:rPr>
          <w:rFonts w:ascii="Times New Roman" w:hAnsi="Times New Roman" w:cs="Times New Roman"/>
          <w:color w:val="000000"/>
          <w:sz w:val="20"/>
          <w:szCs w:val="20"/>
        </w:rPr>
        <w:t>tances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 </w:t>
      </w:r>
      <w:r>
        <w:rPr>
          <w:rFonts w:ascii="Times New Roman" w:hAnsi="Times New Roman" w:cs="Times New Roman"/>
          <w:color w:val="000000"/>
          <w:sz w:val="20"/>
          <w:szCs w:val="20"/>
        </w:rPr>
        <w:t>“</w:t>
      </w:r>
      <w:r>
        <w:rPr>
          <w:rFonts w:ascii="Times New Roman" w:hAnsi="Times New Roman" w:cs="Times New Roman"/>
          <w:color w:val="000000"/>
          <w:sz w:val="20"/>
          <w:szCs w:val="20"/>
        </w:rPr>
        <w:t>serious medical condition or a call or order to active duty in the Armed Forces,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i/>
          <w:iCs/>
          <w:color w:val="000000"/>
          <w:sz w:val="20"/>
          <w:szCs w:val="20"/>
        </w:rPr>
        <w:t>ibid.,</w:t>
      </w:r>
      <w:r>
        <w:rPr>
          <w:rFonts w:ascii="Times New Roman" w:hAnsi="Times New Roman" w:cs="Times New Roman"/>
          <w:color w:val="000000"/>
          <w:sz w:val="20"/>
          <w:szCs w:val="20"/>
        </w:rPr>
        <w:t xml:space="preserve"> and pet</w:t>
      </w:r>
      <w:r>
        <w:rPr>
          <w:rFonts w:ascii="Times New Roman" w:hAnsi="Times New Roman" w:cs="Times New Roman"/>
          <w:color w:val="000000"/>
          <w:sz w:val="20"/>
          <w:szCs w:val="20"/>
        </w:rPr>
        <w:t>i</w:t>
      </w:r>
      <w:r>
        <w:rPr>
          <w:rFonts w:ascii="Times New Roman" w:hAnsi="Times New Roman" w:cs="Times New Roman"/>
          <w:color w:val="000000"/>
          <w:sz w:val="20"/>
          <w:szCs w:val="20"/>
        </w:rPr>
        <w:t xml:space="preserve">tioner directs us to no authority for the proposition that a prepetition decline in income would qualify as a </w:t>
      </w:r>
      <w:r>
        <w:rPr>
          <w:rFonts w:ascii="Times New Roman" w:hAnsi="Times New Roman" w:cs="Times New Roman"/>
          <w:color w:val="000000"/>
          <w:sz w:val="20"/>
          <w:szCs w:val="20"/>
        </w:rPr>
        <w:t>“</w:t>
      </w:r>
      <w:r>
        <w:rPr>
          <w:rFonts w:ascii="Times New Roman" w:hAnsi="Times New Roman" w:cs="Times New Roman"/>
          <w:color w:val="000000"/>
          <w:sz w:val="20"/>
          <w:szCs w:val="20"/>
        </w:rPr>
        <w:t>spec</w:t>
      </w:r>
      <w:r>
        <w:rPr>
          <w:rFonts w:ascii="Times New Roman" w:hAnsi="Times New Roman" w:cs="Times New Roman"/>
          <w:color w:val="000000"/>
          <w:sz w:val="20"/>
          <w:szCs w:val="20"/>
        </w:rPr>
        <w:t>ial circumstance.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any event, the </w:t>
      </w:r>
      <w:r>
        <w:rPr>
          <w:rFonts w:ascii="Times New Roman" w:hAnsi="Times New Roman" w:cs="Times New Roman"/>
          <w:color w:val="000000"/>
          <w:sz w:val="20"/>
          <w:szCs w:val="20"/>
        </w:rPr>
        <w:t>“</w:t>
      </w:r>
      <w:r>
        <w:rPr>
          <w:rFonts w:ascii="Times New Roman" w:hAnsi="Times New Roman" w:cs="Times New Roman"/>
          <w:color w:val="000000"/>
          <w:sz w:val="20"/>
          <w:szCs w:val="20"/>
        </w:rPr>
        <w:t>special circumstances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exception is available only to the e</w:t>
      </w:r>
      <w:r>
        <w:rPr>
          <w:rFonts w:ascii="Times New Roman" w:hAnsi="Times New Roman" w:cs="Times New Roman"/>
          <w:color w:val="000000"/>
          <w:sz w:val="20"/>
          <w:szCs w:val="20"/>
        </w:rPr>
        <w:t>x</w:t>
      </w:r>
      <w:r>
        <w:rPr>
          <w:rFonts w:ascii="Times New Roman" w:hAnsi="Times New Roman" w:cs="Times New Roman"/>
          <w:color w:val="000000"/>
          <w:sz w:val="20"/>
          <w:szCs w:val="20"/>
        </w:rPr>
        <w:t xml:space="preserve">tent that </w:t>
      </w:r>
      <w:r>
        <w:rPr>
          <w:rFonts w:ascii="Times New Roman" w:hAnsi="Times New Roman" w:cs="Times New Roman"/>
          <w:color w:val="000000"/>
          <w:sz w:val="20"/>
          <w:szCs w:val="20"/>
        </w:rPr>
        <w:t>“</w:t>
      </w:r>
      <w:r>
        <w:rPr>
          <w:rFonts w:ascii="Times New Roman" w:hAnsi="Times New Roman" w:cs="Times New Roman"/>
          <w:color w:val="000000"/>
          <w:sz w:val="20"/>
          <w:szCs w:val="20"/>
        </w:rPr>
        <w:t>there is no reasonable alternative,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i/>
          <w:iCs/>
          <w:color w:val="000000"/>
          <w:sz w:val="20"/>
          <w:szCs w:val="20"/>
        </w:rPr>
        <w:t>ibid</w:t>
      </w:r>
      <w:r>
        <w:rPr>
          <w:rFonts w:ascii="Times New Roman" w:hAnsi="Times New Roman" w:cs="Times New Roman"/>
          <w:color w:val="000000"/>
          <w:sz w:val="20"/>
          <w:szCs w:val="20"/>
        </w:rPr>
        <w:t xml:space="preserve">., a proposition we reject with our interpretation of </w:t>
      </w:r>
      <w:hyperlink r:id="rId330" w:history="1">
        <w:r>
          <w:rPr>
            <w:rFonts w:ascii="Times New Roman" w:hAnsi="Times New Roman" w:cs="Times New Roman"/>
            <w:color w:val="0000FF"/>
            <w:sz w:val="20"/>
            <w:szCs w:val="20"/>
            <w:u w:val="single"/>
          </w:rPr>
          <w:t>§ 1325(b)(1)</w:t>
        </w:r>
      </w:hyperlink>
      <w:r>
        <w:rPr>
          <w:rFonts w:ascii="Times New Roman" w:hAnsi="Times New Roman" w:cs="Times New Roman"/>
          <w:color w:val="000000"/>
          <w:sz w:val="20"/>
          <w:szCs w:val="20"/>
        </w:rPr>
        <w:t xml:space="preserve"> today.</w:t>
      </w:r>
      <w:hyperlink w:anchor="Document1zzB00982022242875" w:history="1">
        <w:r>
          <w:rPr>
            <w:rFonts w:ascii="Times New Roman" w:hAnsi="Times New Roman" w:cs="Times New Roman"/>
            <w:color w:val="0000FF"/>
            <w:sz w:val="20"/>
            <w:szCs w:val="20"/>
            <w:u w:val="single"/>
            <w:vertAlign w:val="superscript"/>
          </w:rPr>
          <w:t>FN8</w:t>
        </w:r>
      </w:hyperlink>
      <w:bookmarkStart w:id="53" w:name="Document1zzF00982022242875"/>
      <w:bookmarkEnd w:id="53"/>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ind w:left="720"/>
        <w:jc w:val="both"/>
        <w:rPr>
          <w:rFonts w:ascii="Times New Roman" w:hAnsi="Times New Roman" w:cs="Times New Roman"/>
          <w:color w:val="000000"/>
          <w:sz w:val="24"/>
          <w:szCs w:val="24"/>
        </w:rPr>
      </w:pPr>
      <w:hyperlink w:anchor="Document1zzF00982022242875" w:history="1">
        <w:r>
          <w:rPr>
            <w:rFonts w:ascii="Times New Roman" w:hAnsi="Times New Roman" w:cs="Times New Roman"/>
            <w:color w:val="0000FF"/>
            <w:sz w:val="20"/>
            <w:szCs w:val="20"/>
            <w:u w:val="single"/>
          </w:rPr>
          <w:t>FN8.</w:t>
        </w:r>
      </w:hyperlink>
      <w:bookmarkStart w:id="54" w:name="Document1zzB00982022242875"/>
      <w:bookmarkEnd w:id="54"/>
      <w:r>
        <w:rPr>
          <w:rFonts w:ascii="Times New Roman" w:hAnsi="Times New Roman" w:cs="Times New Roman"/>
          <w:color w:val="000000"/>
          <w:sz w:val="20"/>
          <w:szCs w:val="20"/>
        </w:rPr>
        <w:t xml:space="preserve"> Petitioner also suggests that some Chapter 13 debtors may be able to plead </w:t>
      </w:r>
      <w:r>
        <w:rPr>
          <w:rFonts w:ascii="Times New Roman" w:hAnsi="Times New Roman" w:cs="Times New Roman"/>
          <w:color w:val="000000"/>
          <w:sz w:val="20"/>
          <w:szCs w:val="20"/>
        </w:rPr>
        <w:t>“</w:t>
      </w:r>
      <w:r>
        <w:rPr>
          <w:rFonts w:ascii="Times New Roman" w:hAnsi="Times New Roman" w:cs="Times New Roman"/>
          <w:color w:val="000000"/>
          <w:sz w:val="20"/>
          <w:szCs w:val="20"/>
        </w:rPr>
        <w:t>special circumstances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on the expense side of the calculation by virtue of BAPCPA's incorporatio</w:t>
      </w:r>
      <w:r>
        <w:rPr>
          <w:rFonts w:ascii="Times New Roman" w:hAnsi="Times New Roman" w:cs="Times New Roman"/>
          <w:color w:val="000000"/>
          <w:sz w:val="20"/>
          <w:szCs w:val="20"/>
        </w:rPr>
        <w:t xml:space="preserve">n of the Chapter 7 means test into Chapter 13. See </w:t>
      </w:r>
      <w:hyperlink r:id="rId331" w:history="1">
        <w:r>
          <w:rPr>
            <w:rFonts w:ascii="Times New Roman" w:hAnsi="Times New Roman" w:cs="Times New Roman"/>
            <w:color w:val="0000FF"/>
            <w:sz w:val="20"/>
            <w:szCs w:val="20"/>
            <w:u w:val="single"/>
          </w:rPr>
          <w:t>§ 707(b)(2)(B)(i)</w:t>
        </w:r>
      </w:hyperlink>
      <w:r>
        <w:rPr>
          <w:rFonts w:ascii="Times New Roman" w:hAnsi="Times New Roman" w:cs="Times New Roman"/>
          <w:color w:val="000000"/>
          <w:sz w:val="20"/>
          <w:szCs w:val="20"/>
        </w:rPr>
        <w:t>, (ii). This is no</w:t>
      </w:r>
      <w:r>
        <w:rPr>
          <w:rFonts w:ascii="Times New Roman" w:hAnsi="Times New Roman" w:cs="Times New Roman"/>
          <w:color w:val="000000"/>
          <w:sz w:val="20"/>
          <w:szCs w:val="20"/>
        </w:rPr>
        <w:t xml:space="preserve"> help to debtors like respondent, </w:t>
      </w:r>
      <w:r>
        <w:rPr>
          <w:rFonts w:ascii="Times New Roman" w:hAnsi="Times New Roman" w:cs="Times New Roman"/>
          <w:color w:val="000000"/>
          <w:sz w:val="20"/>
          <w:szCs w:val="20"/>
        </w:rPr>
        <w:lastRenderedPageBreak/>
        <w:t>whose income has changed but whose e</w:t>
      </w:r>
      <w:r>
        <w:rPr>
          <w:rFonts w:ascii="Times New Roman" w:hAnsi="Times New Roman" w:cs="Times New Roman"/>
          <w:color w:val="000000"/>
          <w:sz w:val="20"/>
          <w:szCs w:val="20"/>
        </w:rPr>
        <w:t>x</w:t>
      </w:r>
      <w:r>
        <w:rPr>
          <w:rFonts w:ascii="Times New Roman" w:hAnsi="Times New Roman" w:cs="Times New Roman"/>
          <w:color w:val="000000"/>
          <w:sz w:val="20"/>
          <w:szCs w:val="20"/>
        </w:rPr>
        <w:t>penses are constant.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In sum, each of the strategies that petitioner identifies for mitigating the anomalous effects of the mechanical approach is flawed. There is no reason to think th</w:t>
      </w:r>
      <w:r>
        <w:rPr>
          <w:rFonts w:ascii="Times New Roman" w:hAnsi="Times New Roman" w:cs="Times New Roman"/>
          <w:color w:val="000000"/>
          <w:sz w:val="20"/>
          <w:szCs w:val="20"/>
        </w:rPr>
        <w:t>at Congress meant for any of these strategies to operate as a safety valve for the mechanical approach.</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IV</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*12</w:t>
      </w:r>
      <w:r>
        <w:rPr>
          <w:rFonts w:ascii="Times New Roman" w:hAnsi="Times New Roman" w:cs="Times New Roman"/>
          <w:color w:val="000000"/>
          <w:sz w:val="20"/>
          <w:szCs w:val="20"/>
        </w:rPr>
        <w:t xml:space="preserve"> We find petitioner's remaining arguments unpe</w:t>
      </w:r>
      <w:r>
        <w:rPr>
          <w:rFonts w:ascii="Times New Roman" w:hAnsi="Times New Roman" w:cs="Times New Roman"/>
          <w:color w:val="000000"/>
          <w:sz w:val="20"/>
          <w:szCs w:val="20"/>
        </w:rPr>
        <w:t>r</w:t>
      </w:r>
      <w:r>
        <w:rPr>
          <w:rFonts w:ascii="Times New Roman" w:hAnsi="Times New Roman" w:cs="Times New Roman"/>
          <w:color w:val="000000"/>
          <w:sz w:val="20"/>
          <w:szCs w:val="20"/>
        </w:rPr>
        <w:t xml:space="preserve">suasive. Consistent with the text of </w:t>
      </w:r>
      <w:hyperlink r:id="rId332" w:history="1">
        <w:r>
          <w:rPr>
            <w:rFonts w:ascii="Times New Roman" w:hAnsi="Times New Roman" w:cs="Times New Roman"/>
            <w:color w:val="0000FF"/>
            <w:sz w:val="20"/>
            <w:szCs w:val="20"/>
            <w:u w:val="single"/>
          </w:rPr>
          <w:t>§ 1325</w:t>
        </w:r>
      </w:hyperlink>
      <w:r>
        <w:rPr>
          <w:rFonts w:ascii="Times New Roman" w:hAnsi="Times New Roman" w:cs="Times New Roman"/>
          <w:color w:val="000000"/>
          <w:sz w:val="20"/>
          <w:szCs w:val="20"/>
        </w:rPr>
        <w:t xml:space="preserve"> and pre-BAPCPA practice, we hold that when a ban</w:t>
      </w:r>
      <w:r>
        <w:rPr>
          <w:rFonts w:ascii="Times New Roman" w:hAnsi="Times New Roman" w:cs="Times New Roman"/>
          <w:color w:val="000000"/>
          <w:sz w:val="20"/>
          <w:szCs w:val="20"/>
        </w:rPr>
        <w:t>k</w:t>
      </w:r>
      <w:r>
        <w:rPr>
          <w:rFonts w:ascii="Times New Roman" w:hAnsi="Times New Roman" w:cs="Times New Roman"/>
          <w:color w:val="000000"/>
          <w:sz w:val="20"/>
          <w:szCs w:val="20"/>
        </w:rPr>
        <w:t>ruptcy court calculates a debtor's projected disposable income, the court may account fo</w:t>
      </w:r>
      <w:r>
        <w:rPr>
          <w:rFonts w:ascii="Times New Roman" w:hAnsi="Times New Roman" w:cs="Times New Roman"/>
          <w:color w:val="000000"/>
          <w:sz w:val="20"/>
          <w:szCs w:val="20"/>
        </w:rPr>
        <w:t>r changes in the debtor's income or expenses that are known or vi</w:t>
      </w:r>
      <w:r>
        <w:rPr>
          <w:rFonts w:ascii="Times New Roman" w:hAnsi="Times New Roman" w:cs="Times New Roman"/>
          <w:color w:val="000000"/>
          <w:sz w:val="20"/>
          <w:szCs w:val="20"/>
        </w:rPr>
        <w:t>r</w:t>
      </w:r>
      <w:r>
        <w:rPr>
          <w:rFonts w:ascii="Times New Roman" w:hAnsi="Times New Roman" w:cs="Times New Roman"/>
          <w:color w:val="000000"/>
          <w:sz w:val="20"/>
          <w:szCs w:val="20"/>
        </w:rPr>
        <w:t>tually certain at the time of confirmation. We therefore affirm the decision of the Court of Appeals.</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i/>
          <w:iCs/>
          <w:color w:val="000000"/>
          <w:sz w:val="20"/>
          <w:szCs w:val="20"/>
        </w:rPr>
        <w:t>It is so ordered.</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Justice </w:t>
      </w:r>
      <w:hyperlink r:id="rId333" w:history="1">
        <w:r>
          <w:rPr>
            <w:rFonts w:ascii="Times New Roman" w:hAnsi="Times New Roman" w:cs="Times New Roman"/>
            <w:color w:val="0000FF"/>
            <w:sz w:val="20"/>
            <w:szCs w:val="20"/>
            <w:u w:val="single"/>
          </w:rPr>
          <w:t>SCALIA</w:t>
        </w:r>
      </w:hyperlink>
      <w:r>
        <w:rPr>
          <w:rFonts w:ascii="Times New Roman" w:hAnsi="Times New Roman" w:cs="Times New Roman"/>
          <w:color w:val="000000"/>
          <w:sz w:val="20"/>
          <w:szCs w:val="20"/>
        </w:rPr>
        <w:t>, dissenting.</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The Bankruptcy Code requires a debtor seeking relief under Chapter 13, unless he will repay his unsecured creditors in f</w:t>
      </w:r>
      <w:r>
        <w:rPr>
          <w:rFonts w:ascii="Times New Roman" w:hAnsi="Times New Roman" w:cs="Times New Roman"/>
          <w:color w:val="000000"/>
          <w:sz w:val="20"/>
          <w:szCs w:val="20"/>
        </w:rPr>
        <w:t xml:space="preserve">ull, to pay them all of his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over the life of his repayment plan. </w:t>
      </w:r>
      <w:hyperlink r:id="rId334" w:history="1">
        <w:r>
          <w:rPr>
            <w:rFonts w:ascii="Times New Roman" w:hAnsi="Times New Roman" w:cs="Times New Roman"/>
            <w:color w:val="0000FF"/>
            <w:sz w:val="20"/>
            <w:szCs w:val="20"/>
            <w:u w:val="single"/>
          </w:rPr>
          <w:t>11 U.S.C. § 1325(b)(1)(B)</w:t>
        </w:r>
      </w:hyperlink>
      <w:r>
        <w:rPr>
          <w:rFonts w:ascii="Times New Roman" w:hAnsi="Times New Roman" w:cs="Times New Roman"/>
          <w:color w:val="000000"/>
          <w:sz w:val="20"/>
          <w:szCs w:val="20"/>
        </w:rPr>
        <w:t xml:space="preserve">. The Code provides a formula for </w:t>
      </w:r>
      <w:r>
        <w:rPr>
          <w:rFonts w:ascii="Times New Roman" w:hAnsi="Times New Roman" w:cs="Times New Roman"/>
          <w:color w:val="000000"/>
          <w:sz w:val="20"/>
          <w:szCs w:val="20"/>
        </w:rPr>
        <w:t>“</w:t>
      </w:r>
      <w:r>
        <w:rPr>
          <w:rFonts w:ascii="Times New Roman" w:hAnsi="Times New Roman" w:cs="Times New Roman"/>
          <w:color w:val="000000"/>
          <w:sz w:val="20"/>
          <w:szCs w:val="20"/>
        </w:rPr>
        <w:t>project[ing]</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what a debtor's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will be, which so far as his earnings are concerned turns only on his past income. The Court concludes that this formula should not appl</w:t>
      </w:r>
      <w:r>
        <w:rPr>
          <w:rFonts w:ascii="Times New Roman" w:hAnsi="Times New Roman" w:cs="Times New Roman"/>
          <w:color w:val="000000"/>
          <w:sz w:val="20"/>
          <w:szCs w:val="20"/>
        </w:rPr>
        <w:t xml:space="preserve">y in </w:t>
      </w:r>
      <w:r>
        <w:rPr>
          <w:rFonts w:ascii="Times New Roman" w:hAnsi="Times New Roman" w:cs="Times New Roman"/>
          <w:color w:val="000000"/>
          <w:sz w:val="20"/>
          <w:szCs w:val="20"/>
        </w:rPr>
        <w:t>“</w:t>
      </w:r>
      <w:r>
        <w:rPr>
          <w:rFonts w:ascii="Times New Roman" w:hAnsi="Times New Roman" w:cs="Times New Roman"/>
          <w:color w:val="000000"/>
          <w:sz w:val="20"/>
          <w:szCs w:val="20"/>
        </w:rPr>
        <w:t>e</w:t>
      </w:r>
      <w:r>
        <w:rPr>
          <w:rFonts w:ascii="Times New Roman" w:hAnsi="Times New Roman" w:cs="Times New Roman"/>
          <w:color w:val="000000"/>
          <w:sz w:val="20"/>
          <w:szCs w:val="20"/>
        </w:rPr>
        <w:t>x</w:t>
      </w:r>
      <w:r>
        <w:rPr>
          <w:rFonts w:ascii="Times New Roman" w:hAnsi="Times New Roman" w:cs="Times New Roman"/>
          <w:color w:val="000000"/>
          <w:sz w:val="20"/>
          <w:szCs w:val="20"/>
        </w:rPr>
        <w:t>ceptional cases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where </w:t>
      </w:r>
      <w:r>
        <w:rPr>
          <w:rFonts w:ascii="Times New Roman" w:hAnsi="Times New Roman" w:cs="Times New Roman"/>
          <w:color w:val="000000"/>
          <w:sz w:val="20"/>
          <w:szCs w:val="20"/>
        </w:rPr>
        <w:t>“</w:t>
      </w:r>
      <w:r>
        <w:rPr>
          <w:rFonts w:ascii="Times New Roman" w:hAnsi="Times New Roman" w:cs="Times New Roman"/>
          <w:color w:val="000000"/>
          <w:sz w:val="20"/>
          <w:szCs w:val="20"/>
        </w:rPr>
        <w:t>known or virtually certain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changes in the debtor's circumstances make it a poor predi</w:t>
      </w:r>
      <w:r>
        <w:rPr>
          <w:rFonts w:ascii="Times New Roman" w:hAnsi="Times New Roman" w:cs="Times New Roman"/>
          <w:color w:val="000000"/>
          <w:sz w:val="20"/>
          <w:szCs w:val="20"/>
        </w:rPr>
        <w:t>c</w:t>
      </w:r>
      <w:r>
        <w:rPr>
          <w:rFonts w:ascii="Times New Roman" w:hAnsi="Times New Roman" w:cs="Times New Roman"/>
          <w:color w:val="000000"/>
          <w:sz w:val="20"/>
          <w:szCs w:val="20"/>
        </w:rPr>
        <w:t xml:space="preserve">tor. </w:t>
      </w:r>
      <w:r>
        <w:rPr>
          <w:rFonts w:ascii="Times New Roman" w:hAnsi="Times New Roman" w:cs="Times New Roman"/>
          <w:i/>
          <w:iCs/>
          <w:color w:val="000000"/>
          <w:sz w:val="20"/>
          <w:szCs w:val="20"/>
        </w:rPr>
        <w:t>Ante,</w:t>
      </w:r>
      <w:r>
        <w:rPr>
          <w:rFonts w:ascii="Times New Roman" w:hAnsi="Times New Roman" w:cs="Times New Roman"/>
          <w:color w:val="000000"/>
          <w:sz w:val="20"/>
          <w:szCs w:val="20"/>
        </w:rPr>
        <w:t xml:space="preserve"> at ----. Because that conclusion is contrary to the Code's text, I respectfully dissent.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I</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A</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A bankruptcy court cannot conf</w:t>
      </w:r>
      <w:r>
        <w:rPr>
          <w:rFonts w:ascii="Times New Roman" w:hAnsi="Times New Roman" w:cs="Times New Roman"/>
          <w:color w:val="000000"/>
          <w:sz w:val="20"/>
          <w:szCs w:val="20"/>
        </w:rPr>
        <w:t xml:space="preserve">irm a Chapter 13 plan over the objection of the trustee unless, as of the plan's effective date, either (A) the property to be distributed on account of the unsecured claim at issue exceeds its amount or (B) the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the plan provides that all of the debtor's </w:t>
      </w:r>
      <w:r>
        <w:rPr>
          <w:rFonts w:ascii="Times New Roman" w:hAnsi="Times New Roman" w:cs="Times New Roman"/>
          <w:color w:val="000000"/>
          <w:sz w:val="20"/>
          <w:szCs w:val="20"/>
        </w:rPr>
        <w:t>projected disposable income to be received in the applicable commitment period beginning on the date that the first payment is due under the plan will be applied to make payments to unsecured creditors u</w:t>
      </w:r>
      <w:r>
        <w:rPr>
          <w:rFonts w:ascii="Times New Roman" w:hAnsi="Times New Roman" w:cs="Times New Roman"/>
          <w:color w:val="000000"/>
          <w:sz w:val="20"/>
          <w:szCs w:val="20"/>
        </w:rPr>
        <w:t>n</w:t>
      </w:r>
      <w:r>
        <w:rPr>
          <w:rFonts w:ascii="Times New Roman" w:hAnsi="Times New Roman" w:cs="Times New Roman"/>
          <w:color w:val="000000"/>
          <w:sz w:val="20"/>
          <w:szCs w:val="20"/>
        </w:rPr>
        <w:lastRenderedPageBreak/>
        <w:t>der the plan.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335" w:history="1">
        <w:r>
          <w:rPr>
            <w:rFonts w:ascii="Times New Roman" w:hAnsi="Times New Roman" w:cs="Times New Roman"/>
            <w:color w:val="0000FF"/>
            <w:sz w:val="20"/>
            <w:szCs w:val="20"/>
            <w:u w:val="single"/>
          </w:rPr>
          <w:t>§ 1325(b)(1)(B)</w:t>
        </w:r>
      </w:hyperlink>
      <w:r>
        <w:rPr>
          <w:rFonts w:ascii="Times New Roman" w:hAnsi="Times New Roman" w:cs="Times New Roman"/>
          <w:color w:val="000000"/>
          <w:sz w:val="20"/>
          <w:szCs w:val="20"/>
        </w:rPr>
        <w:t xml:space="preserve">. The Code does not define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but it does define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The next </w:t>
      </w:r>
      <w:r>
        <w:rPr>
          <w:rFonts w:ascii="Times New Roman" w:hAnsi="Times New Roman" w:cs="Times New Roman"/>
          <w:color w:val="000000"/>
          <w:sz w:val="20"/>
          <w:szCs w:val="20"/>
        </w:rPr>
        <w:t xml:space="preserve">paragraph of </w:t>
      </w:r>
      <w:hyperlink r:id="rId336" w:history="1">
        <w:r>
          <w:rPr>
            <w:rFonts w:ascii="Times New Roman" w:hAnsi="Times New Roman" w:cs="Times New Roman"/>
            <w:color w:val="0000FF"/>
            <w:sz w:val="20"/>
            <w:szCs w:val="20"/>
            <w:u w:val="single"/>
          </w:rPr>
          <w:t>§ 1325(b)</w:t>
        </w:r>
      </w:hyperlink>
      <w:r>
        <w:rPr>
          <w:rFonts w:ascii="Times New Roman" w:hAnsi="Times New Roman" w:cs="Times New Roman"/>
          <w:color w:val="000000"/>
          <w:sz w:val="20"/>
          <w:szCs w:val="20"/>
        </w:rPr>
        <w:t xml:space="preserve"> provides that </w:t>
      </w:r>
      <w:r>
        <w:rPr>
          <w:rFonts w:ascii="Times New Roman" w:hAnsi="Times New Roman" w:cs="Times New Roman"/>
          <w:color w:val="000000"/>
          <w:sz w:val="20"/>
          <w:szCs w:val="20"/>
        </w:rPr>
        <w:t>“</w:t>
      </w:r>
      <w:r>
        <w:rPr>
          <w:rFonts w:ascii="Times New Roman" w:hAnsi="Times New Roman" w:cs="Times New Roman"/>
          <w:color w:val="000000"/>
          <w:sz w:val="20"/>
          <w:szCs w:val="20"/>
        </w:rPr>
        <w:t>[f]or purposes of this subse</w:t>
      </w:r>
      <w:r>
        <w:rPr>
          <w:rFonts w:ascii="Times New Roman" w:hAnsi="Times New Roman" w:cs="Times New Roman"/>
          <w:color w:val="000000"/>
          <w:sz w:val="20"/>
          <w:szCs w:val="20"/>
        </w:rPr>
        <w:t>c</w:t>
      </w:r>
      <w:r>
        <w:rPr>
          <w:rFonts w:ascii="Times New Roman" w:hAnsi="Times New Roman" w:cs="Times New Roman"/>
          <w:color w:val="000000"/>
          <w:sz w:val="20"/>
          <w:szCs w:val="20"/>
        </w:rPr>
        <w:t xml:space="preserve">tion, the term </w:t>
      </w:r>
      <w:r>
        <w:rPr>
          <w:rFonts w:ascii="Times New Roman" w:hAnsi="Times New Roman" w:cs="Times New Roman"/>
          <w:color w:val="000000"/>
          <w:sz w:val="20"/>
          <w:szCs w:val="20"/>
        </w:rPr>
        <w:t>‘</w:t>
      </w:r>
      <w:r>
        <w:rPr>
          <w:rFonts w:ascii="Times New Roman" w:hAnsi="Times New Roman" w:cs="Times New Roman"/>
          <w:color w:val="000000"/>
          <w:sz w:val="20"/>
          <w:szCs w:val="20"/>
        </w:rPr>
        <w:t>di</w:t>
      </w:r>
      <w:r>
        <w:rPr>
          <w:rFonts w:ascii="Times New Roman" w:hAnsi="Times New Roman" w:cs="Times New Roman"/>
          <w:color w:val="000000"/>
          <w:sz w:val="20"/>
          <w:szCs w:val="20"/>
        </w:rPr>
        <w:t>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means current monthly income received by the debtor,</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excluding certain payments received for child support, </w:t>
      </w:r>
      <w:r>
        <w:rPr>
          <w:rFonts w:ascii="Times New Roman" w:hAnsi="Times New Roman" w:cs="Times New Roman"/>
          <w:color w:val="000000"/>
          <w:sz w:val="20"/>
          <w:szCs w:val="20"/>
        </w:rPr>
        <w:t>“</w:t>
      </w:r>
      <w:r>
        <w:rPr>
          <w:rFonts w:ascii="Times New Roman" w:hAnsi="Times New Roman" w:cs="Times New Roman"/>
          <w:color w:val="000000"/>
          <w:sz w:val="20"/>
          <w:szCs w:val="20"/>
        </w:rPr>
        <w:t>less amounts reasonably necessary to be expended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on three categories of expenses. </w:t>
      </w:r>
      <w:hyperlink r:id="rId337" w:history="1">
        <w:r>
          <w:rPr>
            <w:rFonts w:ascii="Times New Roman" w:hAnsi="Times New Roman" w:cs="Times New Roman"/>
            <w:color w:val="0000FF"/>
            <w:sz w:val="20"/>
            <w:szCs w:val="20"/>
            <w:u w:val="single"/>
          </w:rPr>
          <w:t>§ 1325(b)(2)</w:t>
        </w:r>
      </w:hyperlink>
      <w:r>
        <w:rPr>
          <w:rFonts w:ascii="Times New Roman" w:hAnsi="Times New Roman" w:cs="Times New Roman"/>
          <w:color w:val="000000"/>
          <w:sz w:val="20"/>
          <w:szCs w:val="20"/>
        </w:rPr>
        <w:t xml:space="preserve">. The Code in turn defines </w:t>
      </w:r>
      <w:r>
        <w:rPr>
          <w:rFonts w:ascii="Times New Roman" w:hAnsi="Times New Roman" w:cs="Times New Roman"/>
          <w:color w:val="000000"/>
          <w:sz w:val="20"/>
          <w:szCs w:val="20"/>
        </w:rPr>
        <w:t>“</w:t>
      </w:r>
      <w:r>
        <w:rPr>
          <w:rFonts w:ascii="Times New Roman" w:hAnsi="Times New Roman" w:cs="Times New Roman"/>
          <w:color w:val="000000"/>
          <w:sz w:val="20"/>
          <w:szCs w:val="20"/>
        </w:rPr>
        <w:t>current monthly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as </w:t>
      </w:r>
      <w:r>
        <w:rPr>
          <w:rFonts w:ascii="Times New Roman" w:hAnsi="Times New Roman" w:cs="Times New Roman"/>
          <w:color w:val="000000"/>
          <w:sz w:val="20"/>
          <w:szCs w:val="20"/>
        </w:rPr>
        <w:t>“</w:t>
      </w:r>
      <w:r>
        <w:rPr>
          <w:rFonts w:ascii="Times New Roman" w:hAnsi="Times New Roman" w:cs="Times New Roman"/>
          <w:color w:val="000000"/>
          <w:sz w:val="20"/>
          <w:szCs w:val="20"/>
        </w:rPr>
        <w:t>the a</w:t>
      </w:r>
      <w:r>
        <w:rPr>
          <w:rFonts w:ascii="Times New Roman" w:hAnsi="Times New Roman" w:cs="Times New Roman"/>
          <w:color w:val="000000"/>
          <w:sz w:val="20"/>
          <w:szCs w:val="20"/>
        </w:rPr>
        <w:t>v</w:t>
      </w:r>
      <w:r>
        <w:rPr>
          <w:rFonts w:ascii="Times New Roman" w:hAnsi="Times New Roman" w:cs="Times New Roman"/>
          <w:color w:val="000000"/>
          <w:sz w:val="20"/>
          <w:szCs w:val="20"/>
        </w:rPr>
        <w:t>erage monthly income from all sources that the debtor rec</w:t>
      </w:r>
      <w:r>
        <w:rPr>
          <w:rFonts w:ascii="Times New Roman" w:hAnsi="Times New Roman" w:cs="Times New Roman"/>
          <w:color w:val="000000"/>
          <w:sz w:val="20"/>
          <w:szCs w:val="20"/>
        </w:rPr>
        <w:t>eives ... derived during the 6-month period ending on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one of two dates.</w:t>
      </w:r>
      <w:hyperlink w:anchor="Document1zzB01012022242875" w:history="1">
        <w:r>
          <w:rPr>
            <w:rFonts w:ascii="Times New Roman" w:hAnsi="Times New Roman" w:cs="Times New Roman"/>
            <w:color w:val="0000FF"/>
            <w:sz w:val="20"/>
            <w:szCs w:val="20"/>
            <w:u w:val="single"/>
            <w:vertAlign w:val="superscript"/>
          </w:rPr>
          <w:t>FN1</w:t>
        </w:r>
      </w:hyperlink>
      <w:bookmarkStart w:id="55" w:name="Document1zzF01012022242875"/>
      <w:bookmarkEnd w:id="55"/>
      <w:r>
        <w:rPr>
          <w:rFonts w:ascii="Times New Roman" w:hAnsi="Times New Roman" w:cs="Times New Roman"/>
          <w:color w:val="000000"/>
          <w:sz w:val="20"/>
          <w:szCs w:val="20"/>
        </w:rPr>
        <w:t xml:space="preserve"> </w:t>
      </w:r>
      <w:hyperlink r:id="rId338" w:history="1">
        <w:r>
          <w:rPr>
            <w:rFonts w:ascii="Times New Roman" w:hAnsi="Times New Roman" w:cs="Times New Roman"/>
            <w:color w:val="0000FF"/>
            <w:sz w:val="20"/>
            <w:szCs w:val="20"/>
            <w:u w:val="single"/>
          </w:rPr>
          <w:t>§ 101(10A)(A)</w:t>
        </w:r>
      </w:hyperlink>
      <w:r>
        <w:rPr>
          <w:rFonts w:ascii="Times New Roman" w:hAnsi="Times New Roman" w:cs="Times New Roman"/>
          <w:color w:val="000000"/>
          <w:sz w:val="20"/>
          <w:szCs w:val="20"/>
        </w:rPr>
        <w:t xml:space="preserve">. Whichever date applies, a debtor's </w:t>
      </w:r>
      <w:r>
        <w:rPr>
          <w:rFonts w:ascii="Times New Roman" w:hAnsi="Times New Roman" w:cs="Times New Roman"/>
          <w:color w:val="000000"/>
          <w:sz w:val="20"/>
          <w:szCs w:val="20"/>
        </w:rPr>
        <w:t>“</w:t>
      </w:r>
      <w:r>
        <w:rPr>
          <w:rFonts w:ascii="Times New Roman" w:hAnsi="Times New Roman" w:cs="Times New Roman"/>
          <w:color w:val="000000"/>
          <w:sz w:val="20"/>
          <w:szCs w:val="20"/>
        </w:rPr>
        <w:t>current monthly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and thus the income component of his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w:t>
      </w:r>
      <w:r>
        <w:rPr>
          <w:rFonts w:ascii="Times New Roman" w:hAnsi="Times New Roman" w:cs="Times New Roman"/>
          <w:color w:val="000000"/>
          <w:sz w:val="20"/>
          <w:szCs w:val="20"/>
        </w:rPr>
        <w:t>n</w:t>
      </w:r>
      <w:r>
        <w:rPr>
          <w:rFonts w:ascii="Times New Roman" w:hAnsi="Times New Roman" w:cs="Times New Roman"/>
          <w:color w:val="000000"/>
          <w:sz w:val="20"/>
          <w:szCs w:val="20"/>
        </w:rPr>
        <w:t>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is a sum certain, a rate fixed once </w:t>
      </w:r>
      <w:r>
        <w:rPr>
          <w:rFonts w:ascii="Times New Roman" w:hAnsi="Times New Roman" w:cs="Times New Roman"/>
          <w:color w:val="000000"/>
          <w:sz w:val="20"/>
          <w:szCs w:val="20"/>
        </w:rPr>
        <w:t>for all based on historical figures.</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ind w:left="720"/>
        <w:jc w:val="both"/>
        <w:rPr>
          <w:rFonts w:ascii="Times New Roman" w:hAnsi="Times New Roman" w:cs="Times New Roman"/>
          <w:color w:val="000000"/>
          <w:sz w:val="24"/>
          <w:szCs w:val="24"/>
        </w:rPr>
      </w:pPr>
      <w:hyperlink w:anchor="Document1zzF01012022242875" w:history="1">
        <w:r>
          <w:rPr>
            <w:rFonts w:ascii="Times New Roman" w:hAnsi="Times New Roman" w:cs="Times New Roman"/>
            <w:color w:val="0000FF"/>
            <w:sz w:val="20"/>
            <w:szCs w:val="20"/>
            <w:u w:val="single"/>
          </w:rPr>
          <w:t>FN1.</w:t>
        </w:r>
      </w:hyperlink>
      <w:bookmarkStart w:id="56" w:name="Document1zzB01012022242875"/>
      <w:bookmarkEnd w:id="56"/>
      <w:r>
        <w:rPr>
          <w:rFonts w:ascii="Times New Roman" w:hAnsi="Times New Roman" w:cs="Times New Roman"/>
          <w:color w:val="000000"/>
          <w:sz w:val="20"/>
          <w:szCs w:val="20"/>
        </w:rPr>
        <w:t xml:space="preserve"> If the debtor files a schedule of current income, as ordinarily required by </w:t>
      </w:r>
      <w:hyperlink r:id="rId339" w:history="1">
        <w:r>
          <w:rPr>
            <w:rFonts w:ascii="Times New Roman" w:hAnsi="Times New Roman" w:cs="Times New Roman"/>
            <w:color w:val="0000FF"/>
            <w:sz w:val="20"/>
            <w:szCs w:val="20"/>
            <w:u w:val="single"/>
          </w:rPr>
          <w:t>§ 521(a)(1)(B)(ii)</w:t>
        </w:r>
      </w:hyperlink>
      <w:r>
        <w:rPr>
          <w:rFonts w:ascii="Times New Roman" w:hAnsi="Times New Roman" w:cs="Times New Roman"/>
          <w:color w:val="000000"/>
          <w:sz w:val="20"/>
          <w:szCs w:val="20"/>
        </w:rPr>
        <w:t>, then the 6-month period ends on the last day of the month precedin</w:t>
      </w:r>
      <w:r>
        <w:rPr>
          <w:rFonts w:ascii="Times New Roman" w:hAnsi="Times New Roman" w:cs="Times New Roman"/>
          <w:color w:val="000000"/>
          <w:sz w:val="20"/>
          <w:szCs w:val="20"/>
        </w:rPr>
        <w:t xml:space="preserve">g the date the case is commenced, </w:t>
      </w:r>
      <w:hyperlink r:id="rId340" w:history="1">
        <w:r>
          <w:rPr>
            <w:rFonts w:ascii="Times New Roman" w:hAnsi="Times New Roman" w:cs="Times New Roman"/>
            <w:color w:val="0000FF"/>
            <w:sz w:val="20"/>
            <w:szCs w:val="20"/>
            <w:u w:val="single"/>
          </w:rPr>
          <w:t>§ 101(10A)(A)(i)</w:t>
        </w:r>
      </w:hyperlink>
      <w:r>
        <w:rPr>
          <w:rFonts w:ascii="Times New Roman" w:hAnsi="Times New Roman" w:cs="Times New Roman"/>
          <w:color w:val="000000"/>
          <w:sz w:val="20"/>
          <w:szCs w:val="20"/>
        </w:rPr>
        <w:t>-that is, when the petition is filed</w:t>
      </w:r>
      <w:r>
        <w:rPr>
          <w:rFonts w:ascii="Times New Roman" w:hAnsi="Times New Roman" w:cs="Times New Roman"/>
          <w:color w:val="000000"/>
          <w:sz w:val="20"/>
          <w:szCs w:val="20"/>
        </w:rPr>
        <w:t xml:space="preserve">, §§ 301(a), 302(a), 303(b). If the debtor does not file such a schedule on time-which the bankruptcy court apparently may excuse him from doing, </w:t>
      </w:r>
      <w:hyperlink r:id="rId341" w:history="1">
        <w:r>
          <w:rPr>
            <w:rFonts w:ascii="Times New Roman" w:hAnsi="Times New Roman" w:cs="Times New Roman"/>
            <w:color w:val="0000FF"/>
            <w:sz w:val="20"/>
            <w:szCs w:val="20"/>
            <w:u w:val="single"/>
          </w:rPr>
          <w:t>§ 521(a)(1)(B)(ii)</w:t>
        </w:r>
      </w:hyperlink>
      <w:r>
        <w:rPr>
          <w:rFonts w:ascii="Times New Roman" w:hAnsi="Times New Roman" w:cs="Times New Roman"/>
          <w:color w:val="000000"/>
          <w:sz w:val="20"/>
          <w:szCs w:val="20"/>
        </w:rPr>
        <w:t>-the 6-month period ends on the date the ban</w:t>
      </w:r>
      <w:r>
        <w:rPr>
          <w:rFonts w:ascii="Times New Roman" w:hAnsi="Times New Roman" w:cs="Times New Roman"/>
          <w:color w:val="000000"/>
          <w:sz w:val="20"/>
          <w:szCs w:val="20"/>
        </w:rPr>
        <w:t>k</w:t>
      </w:r>
      <w:r>
        <w:rPr>
          <w:rFonts w:ascii="Times New Roman" w:hAnsi="Times New Roman" w:cs="Times New Roman"/>
          <w:color w:val="000000"/>
          <w:sz w:val="20"/>
          <w:szCs w:val="20"/>
        </w:rPr>
        <w:t xml:space="preserve">ruptcy court determines the debtor's current income. </w:t>
      </w:r>
      <w:hyperlink r:id="rId342" w:history="1">
        <w:r>
          <w:rPr>
            <w:rFonts w:ascii="Times New Roman" w:hAnsi="Times New Roman" w:cs="Times New Roman"/>
            <w:color w:val="0000FF"/>
            <w:sz w:val="20"/>
            <w:szCs w:val="20"/>
            <w:u w:val="single"/>
          </w:rPr>
          <w:t>§ 101(10A)(A)(ii)</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This definition of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applies to the use of that term in the longer phrase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w:t>
      </w:r>
      <w:r>
        <w:rPr>
          <w:rFonts w:ascii="Times New Roman" w:hAnsi="Times New Roman" w:cs="Times New Roman"/>
          <w:color w:val="000000"/>
          <w:sz w:val="20"/>
          <w:szCs w:val="20"/>
        </w:rPr>
        <w:t>s</w:t>
      </w:r>
      <w:r>
        <w:rPr>
          <w:rFonts w:ascii="Times New Roman" w:hAnsi="Times New Roman" w:cs="Times New Roman"/>
          <w:color w:val="000000"/>
          <w:sz w:val="20"/>
          <w:szCs w:val="20"/>
        </w:rPr>
        <w:t>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w:t>
      </w:r>
      <w:hyperlink r:id="rId343" w:history="1">
        <w:r>
          <w:rPr>
            <w:rFonts w:ascii="Times New Roman" w:hAnsi="Times New Roman" w:cs="Times New Roman"/>
            <w:color w:val="0000FF"/>
            <w:sz w:val="20"/>
            <w:szCs w:val="20"/>
            <w:u w:val="single"/>
          </w:rPr>
          <w:t>§ 1325(b)(1)(B)</w:t>
        </w:r>
      </w:hyperlink>
      <w:r>
        <w:rPr>
          <w:rFonts w:ascii="Times New Roman" w:hAnsi="Times New Roman" w:cs="Times New Roman"/>
          <w:color w:val="000000"/>
          <w:sz w:val="20"/>
          <w:szCs w:val="20"/>
        </w:rPr>
        <w:t>, since the defin</w:t>
      </w:r>
      <w:r>
        <w:rPr>
          <w:rFonts w:ascii="Times New Roman" w:hAnsi="Times New Roman" w:cs="Times New Roman"/>
          <w:color w:val="000000"/>
          <w:sz w:val="20"/>
          <w:szCs w:val="20"/>
        </w:rPr>
        <w:t>i</w:t>
      </w:r>
      <w:r>
        <w:rPr>
          <w:rFonts w:ascii="Times New Roman" w:hAnsi="Times New Roman" w:cs="Times New Roman"/>
          <w:color w:val="000000"/>
          <w:sz w:val="20"/>
          <w:szCs w:val="20"/>
        </w:rPr>
        <w:t xml:space="preserve">tion says that it applies to subsection (b). Cf. </w:t>
      </w:r>
      <w:hyperlink r:id="rId344" w:history="1">
        <w:r>
          <w:rPr>
            <w:rFonts w:ascii="Times New Roman" w:hAnsi="Times New Roman" w:cs="Times New Roman"/>
            <w:color w:val="0000FF"/>
            <w:sz w:val="20"/>
            <w:szCs w:val="20"/>
            <w:u w:val="single"/>
          </w:rPr>
          <w:t>§ 1129(a)(15)(B)</w:t>
        </w:r>
      </w:hyperlink>
      <w:r>
        <w:rPr>
          <w:rFonts w:ascii="Times New Roman" w:hAnsi="Times New Roman" w:cs="Times New Roman"/>
          <w:color w:val="000000"/>
          <w:sz w:val="20"/>
          <w:szCs w:val="20"/>
        </w:rPr>
        <w:t xml:space="preserve"> (referring to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the projected disposable income of the debtor (as defined in </w:t>
      </w:r>
      <w:hyperlink r:id="rId345" w:history="1">
        <w:r>
          <w:rPr>
            <w:rFonts w:ascii="Times New Roman" w:hAnsi="Times New Roman" w:cs="Times New Roman"/>
            <w:color w:val="0000FF"/>
            <w:sz w:val="20"/>
            <w:szCs w:val="20"/>
            <w:u w:val="single"/>
          </w:rPr>
          <w:t>section 1325(b)(2)</w:t>
        </w:r>
      </w:hyperlink>
      <w:r>
        <w:rPr>
          <w:rFonts w:ascii="Times New Roman" w:hAnsi="Times New Roman" w:cs="Times New Roman"/>
          <w:color w:val="000000"/>
          <w:sz w:val="20"/>
          <w:szCs w:val="20"/>
        </w:rPr>
        <w:t>)</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The puzzle is what to make of the word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In the Court's view, this</w:t>
      </w:r>
      <w:r>
        <w:rPr>
          <w:rFonts w:ascii="Times New Roman" w:hAnsi="Times New Roman" w:cs="Times New Roman"/>
          <w:color w:val="000000"/>
          <w:sz w:val="20"/>
          <w:szCs w:val="20"/>
        </w:rPr>
        <w:t xml:space="preserve"> modifier makes all the di</w:t>
      </w:r>
      <w:r>
        <w:rPr>
          <w:rFonts w:ascii="Times New Roman" w:hAnsi="Times New Roman" w:cs="Times New Roman"/>
          <w:color w:val="000000"/>
          <w:sz w:val="20"/>
          <w:szCs w:val="20"/>
        </w:rPr>
        <w:t>f</w:t>
      </w:r>
      <w:r>
        <w:rPr>
          <w:rFonts w:ascii="Times New Roman" w:hAnsi="Times New Roman" w:cs="Times New Roman"/>
          <w:color w:val="000000"/>
          <w:sz w:val="20"/>
          <w:szCs w:val="20"/>
        </w:rPr>
        <w:t xml:space="preserve">ference. Projections, it explains, ordinarily account for later developments, not just past data. </w:t>
      </w:r>
      <w:r>
        <w:rPr>
          <w:rFonts w:ascii="Times New Roman" w:hAnsi="Times New Roman" w:cs="Times New Roman"/>
          <w:i/>
          <w:iCs/>
          <w:color w:val="000000"/>
          <w:sz w:val="20"/>
          <w:szCs w:val="20"/>
        </w:rPr>
        <w:t>Ante,</w:t>
      </w:r>
      <w:r>
        <w:rPr>
          <w:rFonts w:ascii="Times New Roman" w:hAnsi="Times New Roman" w:cs="Times New Roman"/>
          <w:color w:val="000000"/>
          <w:sz w:val="20"/>
          <w:szCs w:val="20"/>
        </w:rPr>
        <w:t xml:space="preserve"> at ---- - ----. Thus, the Court concludes, in determining </w:t>
      </w:r>
      <w:r>
        <w:rPr>
          <w:rFonts w:ascii="Times New Roman" w:hAnsi="Times New Roman" w:cs="Times New Roman"/>
          <w:color w:val="000000"/>
          <w:sz w:val="20"/>
          <w:szCs w:val="20"/>
        </w:rPr>
        <w:t>“</w:t>
      </w:r>
      <w:r>
        <w:rPr>
          <w:rFonts w:ascii="Times New Roman" w:hAnsi="Times New Roman" w:cs="Times New Roman"/>
          <w:color w:val="000000"/>
          <w:sz w:val="20"/>
          <w:szCs w:val="20"/>
        </w:rPr>
        <w:t>pr</w:t>
      </w:r>
      <w:r>
        <w:rPr>
          <w:rFonts w:ascii="Times New Roman" w:hAnsi="Times New Roman" w:cs="Times New Roman"/>
          <w:color w:val="000000"/>
          <w:sz w:val="20"/>
          <w:szCs w:val="20"/>
        </w:rPr>
        <w:t>o</w:t>
      </w:r>
      <w:r>
        <w:rPr>
          <w:rFonts w:ascii="Times New Roman" w:hAnsi="Times New Roman" w:cs="Times New Roman"/>
          <w:color w:val="000000"/>
          <w:sz w:val="20"/>
          <w:szCs w:val="20"/>
        </w:rPr>
        <w:t>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 bankruptcy court may depart from </w:t>
      </w:r>
      <w:hyperlink r:id="rId346" w:history="1">
        <w:r>
          <w:rPr>
            <w:rFonts w:ascii="Times New Roman" w:hAnsi="Times New Roman" w:cs="Times New Roman"/>
            <w:color w:val="0000FF"/>
            <w:sz w:val="20"/>
            <w:szCs w:val="20"/>
            <w:u w:val="single"/>
          </w:rPr>
          <w:t>§ 1325(b)(2)</w:t>
        </w:r>
      </w:hyperlink>
      <w:r>
        <w:rPr>
          <w:rFonts w:ascii="Times New Roman" w:hAnsi="Times New Roman" w:cs="Times New Roman"/>
          <w:color w:val="000000"/>
          <w:sz w:val="20"/>
          <w:szCs w:val="20"/>
        </w:rPr>
        <w:t xml:space="preserve">'s inflexible formula, at least in </w:t>
      </w:r>
      <w:r>
        <w:rPr>
          <w:rFonts w:ascii="Times New Roman" w:hAnsi="Times New Roman" w:cs="Times New Roman"/>
          <w:color w:val="000000"/>
          <w:sz w:val="20"/>
          <w:szCs w:val="20"/>
        </w:rPr>
        <w:t>“</w:t>
      </w:r>
      <w:r>
        <w:rPr>
          <w:rFonts w:ascii="Times New Roman" w:hAnsi="Times New Roman" w:cs="Times New Roman"/>
          <w:color w:val="000000"/>
          <w:sz w:val="20"/>
          <w:szCs w:val="20"/>
        </w:rPr>
        <w:t>exceptional cases,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to account for </w:t>
      </w:r>
      <w:r>
        <w:rPr>
          <w:rFonts w:ascii="Times New Roman" w:hAnsi="Times New Roman" w:cs="Times New Roman"/>
          <w:color w:val="000000"/>
          <w:sz w:val="20"/>
          <w:szCs w:val="20"/>
        </w:rPr>
        <w:t>“</w:t>
      </w:r>
      <w:r>
        <w:rPr>
          <w:rFonts w:ascii="Times New Roman" w:hAnsi="Times New Roman" w:cs="Times New Roman"/>
          <w:color w:val="000000"/>
          <w:sz w:val="20"/>
          <w:szCs w:val="20"/>
        </w:rPr>
        <w:t>sig</w:t>
      </w:r>
      <w:r>
        <w:rPr>
          <w:rFonts w:ascii="Times New Roman" w:hAnsi="Times New Roman" w:cs="Times New Roman"/>
          <w:color w:val="000000"/>
          <w:sz w:val="20"/>
          <w:szCs w:val="20"/>
        </w:rPr>
        <w:t>nificant changes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the debtor's circumstances, either actual or anticipated. </w:t>
      </w:r>
      <w:r>
        <w:rPr>
          <w:rFonts w:ascii="Times New Roman" w:hAnsi="Times New Roman" w:cs="Times New Roman"/>
          <w:i/>
          <w:iCs/>
          <w:color w:val="000000"/>
          <w:sz w:val="20"/>
          <w:szCs w:val="20"/>
        </w:rPr>
        <w:t>Ante,</w:t>
      </w:r>
      <w:r>
        <w:rPr>
          <w:rFonts w:ascii="Times New Roman" w:hAnsi="Times New Roman" w:cs="Times New Roman"/>
          <w:color w:val="000000"/>
          <w:sz w:val="20"/>
          <w:szCs w:val="20"/>
        </w:rPr>
        <w:t xml:space="preserve"> at ----.</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lastRenderedPageBreak/>
        <w:t>*13</w:t>
      </w:r>
      <w:r>
        <w:rPr>
          <w:rFonts w:ascii="Times New Roman" w:hAnsi="Times New Roman" w:cs="Times New Roman"/>
          <w:color w:val="000000"/>
          <w:sz w:val="20"/>
          <w:szCs w:val="20"/>
        </w:rPr>
        <w:t xml:space="preserve"> That interpretation runs aground because it either renders superfluous text Congress included or requires adding text Congress did not. It would be pointless</w:t>
      </w:r>
      <w:r>
        <w:rPr>
          <w:rFonts w:ascii="Times New Roman" w:hAnsi="Times New Roman" w:cs="Times New Roman"/>
          <w:color w:val="000000"/>
          <w:sz w:val="20"/>
          <w:szCs w:val="20"/>
        </w:rPr>
        <w:t xml:space="preserve"> to define disposable income in such detail, based on data during a specific 6-month period, if a court were free to set the r</w:t>
      </w:r>
      <w:r>
        <w:rPr>
          <w:rFonts w:ascii="Times New Roman" w:hAnsi="Times New Roman" w:cs="Times New Roman"/>
          <w:color w:val="000000"/>
          <w:sz w:val="20"/>
          <w:szCs w:val="20"/>
        </w:rPr>
        <w:t>e</w:t>
      </w:r>
      <w:r>
        <w:rPr>
          <w:rFonts w:ascii="Times New Roman" w:hAnsi="Times New Roman" w:cs="Times New Roman"/>
          <w:color w:val="000000"/>
          <w:sz w:val="20"/>
          <w:szCs w:val="20"/>
        </w:rPr>
        <w:t xml:space="preserve">sulting figure aside whenever it appears to be a poor predictor. And since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appears nowhere else in </w:t>
      </w:r>
      <w:hyperlink r:id="rId347" w:history="1">
        <w:r>
          <w:rPr>
            <w:rFonts w:ascii="Times New Roman" w:hAnsi="Times New Roman" w:cs="Times New Roman"/>
            <w:color w:val="0000FF"/>
            <w:sz w:val="20"/>
            <w:szCs w:val="20"/>
            <w:u w:val="single"/>
          </w:rPr>
          <w:t>§ 1325(b)</w:t>
        </w:r>
      </w:hyperlink>
      <w:r>
        <w:rPr>
          <w:rFonts w:ascii="Times New Roman" w:hAnsi="Times New Roman" w:cs="Times New Roman"/>
          <w:color w:val="000000"/>
          <w:sz w:val="20"/>
          <w:szCs w:val="20"/>
        </w:rPr>
        <w:t xml:space="preserve">, then unless </w:t>
      </w:r>
      <w:hyperlink r:id="rId348" w:history="1">
        <w:r>
          <w:rPr>
            <w:rFonts w:ascii="Times New Roman" w:hAnsi="Times New Roman" w:cs="Times New Roman"/>
            <w:color w:val="0000FF"/>
            <w:sz w:val="20"/>
            <w:szCs w:val="20"/>
            <w:u w:val="single"/>
          </w:rPr>
          <w:t>§ 1325(b)(2)</w:t>
        </w:r>
      </w:hyperlink>
      <w:r>
        <w:rPr>
          <w:rFonts w:ascii="Times New Roman" w:hAnsi="Times New Roman" w:cs="Times New Roman"/>
          <w:color w:val="000000"/>
          <w:sz w:val="20"/>
          <w:szCs w:val="20"/>
        </w:rPr>
        <w:t xml:space="preserve">'s definition applies to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w:t>
      </w:r>
      <w:r>
        <w:rPr>
          <w:rFonts w:ascii="Times New Roman" w:hAnsi="Times New Roman" w:cs="Times New Roman"/>
          <w:color w:val="000000"/>
          <w:sz w:val="20"/>
          <w:szCs w:val="20"/>
        </w:rPr>
        <w:t>a</w:t>
      </w:r>
      <w:r>
        <w:rPr>
          <w:rFonts w:ascii="Times New Roman" w:hAnsi="Times New Roman" w:cs="Times New Roman"/>
          <w:color w:val="000000"/>
          <w:sz w:val="20"/>
          <w:szCs w:val="20"/>
        </w:rPr>
        <w:t>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w:t>
      </w:r>
      <w:hyperlink r:id="rId349" w:history="1">
        <w:r>
          <w:rPr>
            <w:rFonts w:ascii="Times New Roman" w:hAnsi="Times New Roman" w:cs="Times New Roman"/>
            <w:color w:val="0000FF"/>
            <w:sz w:val="20"/>
            <w:szCs w:val="20"/>
            <w:u w:val="single"/>
          </w:rPr>
          <w:t>§ 1325(b)(1)(B)</w:t>
        </w:r>
      </w:hyperlink>
      <w:r>
        <w:rPr>
          <w:rFonts w:ascii="Times New Roman" w:hAnsi="Times New Roman" w:cs="Times New Roman"/>
          <w:color w:val="000000"/>
          <w:sz w:val="20"/>
          <w:szCs w:val="20"/>
        </w:rPr>
        <w:t>, it does not apply at all.</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The Court insists its interpretation does not render </w:t>
      </w:r>
      <w:hyperlink r:id="rId350" w:history="1">
        <w:r>
          <w:rPr>
            <w:rFonts w:ascii="Times New Roman" w:hAnsi="Times New Roman" w:cs="Times New Roman"/>
            <w:color w:val="0000FF"/>
            <w:sz w:val="20"/>
            <w:szCs w:val="20"/>
            <w:u w:val="single"/>
          </w:rPr>
          <w:t>§ 1325(b)(2)</w:t>
        </w:r>
      </w:hyperlink>
      <w:r>
        <w:rPr>
          <w:rFonts w:ascii="Times New Roman" w:hAnsi="Times New Roman" w:cs="Times New Roman"/>
          <w:color w:val="000000"/>
          <w:sz w:val="20"/>
          <w:szCs w:val="20"/>
        </w:rPr>
        <w:t xml:space="preserve">'s incorporation of </w:t>
      </w:r>
      <w:r>
        <w:rPr>
          <w:rFonts w:ascii="Times New Roman" w:hAnsi="Times New Roman" w:cs="Times New Roman"/>
          <w:color w:val="000000"/>
          <w:sz w:val="20"/>
          <w:szCs w:val="20"/>
        </w:rPr>
        <w:t>“</w:t>
      </w:r>
      <w:r>
        <w:rPr>
          <w:rFonts w:ascii="Times New Roman" w:hAnsi="Times New Roman" w:cs="Times New Roman"/>
          <w:color w:val="000000"/>
          <w:sz w:val="20"/>
          <w:szCs w:val="20"/>
        </w:rPr>
        <w:t>current monthly i</w:t>
      </w:r>
      <w:r>
        <w:rPr>
          <w:rFonts w:ascii="Times New Roman" w:hAnsi="Times New Roman" w:cs="Times New Roman"/>
          <w:color w:val="000000"/>
          <w:sz w:val="20"/>
          <w:szCs w:val="20"/>
        </w:rPr>
        <w:t>n</w:t>
      </w:r>
      <w:r>
        <w:rPr>
          <w:rFonts w:ascii="Times New Roman" w:hAnsi="Times New Roman" w:cs="Times New Roman"/>
          <w:color w:val="000000"/>
          <w:sz w:val="20"/>
          <w:szCs w:val="20"/>
        </w:rPr>
        <w:t>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 nullity: A bankruptcy court must still </w:t>
      </w:r>
      <w:r>
        <w:rPr>
          <w:rFonts w:ascii="Times New Roman" w:hAnsi="Times New Roman" w:cs="Times New Roman"/>
          <w:i/>
          <w:iCs/>
          <w:color w:val="000000"/>
          <w:sz w:val="20"/>
          <w:szCs w:val="20"/>
        </w:rPr>
        <w:t>begin</w:t>
      </w:r>
      <w:r>
        <w:rPr>
          <w:rFonts w:ascii="Times New Roman" w:hAnsi="Times New Roman" w:cs="Times New Roman"/>
          <w:color w:val="000000"/>
          <w:sz w:val="20"/>
          <w:szCs w:val="20"/>
        </w:rPr>
        <w:t xml:space="preserve"> with that figure, but is simply free to fiddle with it if a </w:t>
      </w:r>
      <w:r>
        <w:rPr>
          <w:rFonts w:ascii="Times New Roman" w:hAnsi="Times New Roman" w:cs="Times New Roman"/>
          <w:color w:val="000000"/>
          <w:sz w:val="20"/>
          <w:szCs w:val="20"/>
        </w:rPr>
        <w:t>“</w:t>
      </w:r>
      <w:r>
        <w:rPr>
          <w:rFonts w:ascii="Times New Roman" w:hAnsi="Times New Roman" w:cs="Times New Roman"/>
          <w:color w:val="000000"/>
          <w:sz w:val="20"/>
          <w:szCs w:val="20"/>
        </w:rPr>
        <w:t>significant</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change in the debtor's circumstances is </w:t>
      </w:r>
      <w:r>
        <w:rPr>
          <w:rFonts w:ascii="Times New Roman" w:hAnsi="Times New Roman" w:cs="Times New Roman"/>
          <w:color w:val="000000"/>
          <w:sz w:val="20"/>
          <w:szCs w:val="20"/>
        </w:rPr>
        <w:t>“</w:t>
      </w:r>
      <w:r>
        <w:rPr>
          <w:rFonts w:ascii="Times New Roman" w:hAnsi="Times New Roman" w:cs="Times New Roman"/>
          <w:color w:val="000000"/>
          <w:sz w:val="20"/>
          <w:szCs w:val="20"/>
        </w:rPr>
        <w:t>known or virtually ce</w:t>
      </w:r>
      <w:r>
        <w:rPr>
          <w:rFonts w:ascii="Times New Roman" w:hAnsi="Times New Roman" w:cs="Times New Roman"/>
          <w:color w:val="000000"/>
          <w:sz w:val="20"/>
          <w:szCs w:val="20"/>
        </w:rPr>
        <w:t>r</w:t>
      </w:r>
      <w:r>
        <w:rPr>
          <w:rFonts w:ascii="Times New Roman" w:hAnsi="Times New Roman" w:cs="Times New Roman"/>
          <w:color w:val="000000"/>
          <w:sz w:val="20"/>
          <w:szCs w:val="20"/>
        </w:rPr>
        <w:t>tain.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i/>
          <w:iCs/>
          <w:color w:val="000000"/>
          <w:sz w:val="20"/>
          <w:szCs w:val="20"/>
        </w:rPr>
        <w:t>Ante,</w:t>
      </w:r>
      <w:r>
        <w:rPr>
          <w:rFonts w:ascii="Times New Roman" w:hAnsi="Times New Roman" w:cs="Times New Roman"/>
          <w:color w:val="000000"/>
          <w:sz w:val="20"/>
          <w:szCs w:val="20"/>
        </w:rPr>
        <w:t xml:space="preserve"> at ----, ----. That construction conveniently avoids superfluity, but only by utterly abandoning the text</w:t>
      </w:r>
      <w:r>
        <w:rPr>
          <w:rFonts w:ascii="Times New Roman" w:hAnsi="Times New Roman" w:cs="Times New Roman"/>
          <w:color w:val="000000"/>
          <w:sz w:val="20"/>
          <w:szCs w:val="20"/>
        </w:rPr>
        <w:t xml:space="preserve"> the Court purports to construe. Nothing in the text supports treating the definition of disposable income Congress supplied as a suggestion. And even if the word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did allow (or direct) a court to disregard </w:t>
      </w:r>
      <w:hyperlink r:id="rId351" w:history="1">
        <w:r>
          <w:rPr>
            <w:rFonts w:ascii="Times New Roman" w:hAnsi="Times New Roman" w:cs="Times New Roman"/>
            <w:color w:val="0000FF"/>
            <w:sz w:val="20"/>
            <w:szCs w:val="20"/>
            <w:u w:val="single"/>
          </w:rPr>
          <w:t>§ 1325(b)(2)</w:t>
        </w:r>
      </w:hyperlink>
      <w:r>
        <w:rPr>
          <w:rFonts w:ascii="Times New Roman" w:hAnsi="Times New Roman" w:cs="Times New Roman"/>
          <w:color w:val="000000"/>
          <w:sz w:val="20"/>
          <w:szCs w:val="20"/>
        </w:rPr>
        <w:t>'s fixed formula and to consider other data, there would be no basis in the text for the restrictions the Court</w:t>
      </w:r>
      <w:r>
        <w:rPr>
          <w:rFonts w:ascii="Times New Roman" w:hAnsi="Times New Roman" w:cs="Times New Roman"/>
          <w:color w:val="000000"/>
          <w:sz w:val="20"/>
          <w:szCs w:val="20"/>
        </w:rPr>
        <w:t xml:space="preserve"> reads in, regarding when and to what extent a court may (or must) do so. If the statute authorizes estim</w:t>
      </w:r>
      <w:r>
        <w:rPr>
          <w:rFonts w:ascii="Times New Roman" w:hAnsi="Times New Roman" w:cs="Times New Roman"/>
          <w:color w:val="000000"/>
          <w:sz w:val="20"/>
          <w:szCs w:val="20"/>
        </w:rPr>
        <w:t>a</w:t>
      </w:r>
      <w:r>
        <w:rPr>
          <w:rFonts w:ascii="Times New Roman" w:hAnsi="Times New Roman" w:cs="Times New Roman"/>
          <w:color w:val="000000"/>
          <w:sz w:val="20"/>
          <w:szCs w:val="20"/>
        </w:rPr>
        <w:t xml:space="preserve">tions, it authorizes them in </w:t>
      </w:r>
      <w:r>
        <w:rPr>
          <w:rFonts w:ascii="Times New Roman" w:hAnsi="Times New Roman" w:cs="Times New Roman"/>
          <w:i/>
          <w:iCs/>
          <w:color w:val="000000"/>
          <w:sz w:val="20"/>
          <w:szCs w:val="20"/>
        </w:rPr>
        <w:t>every</w:t>
      </w:r>
      <w:r>
        <w:rPr>
          <w:rFonts w:ascii="Times New Roman" w:hAnsi="Times New Roman" w:cs="Times New Roman"/>
          <w:color w:val="000000"/>
          <w:sz w:val="20"/>
          <w:szCs w:val="20"/>
        </w:rPr>
        <w:t xml:space="preserve"> case, not just those where changes to the debtor's income are both </w:t>
      </w:r>
      <w:r>
        <w:rPr>
          <w:rFonts w:ascii="Times New Roman" w:hAnsi="Times New Roman" w:cs="Times New Roman"/>
          <w:color w:val="000000"/>
          <w:sz w:val="20"/>
          <w:szCs w:val="20"/>
        </w:rPr>
        <w:t>“</w:t>
      </w:r>
      <w:r>
        <w:rPr>
          <w:rFonts w:ascii="Times New Roman" w:hAnsi="Times New Roman" w:cs="Times New Roman"/>
          <w:color w:val="000000"/>
          <w:sz w:val="20"/>
          <w:szCs w:val="20"/>
        </w:rPr>
        <w:t>si</w:t>
      </w:r>
      <w:r>
        <w:rPr>
          <w:rFonts w:ascii="Times New Roman" w:hAnsi="Times New Roman" w:cs="Times New Roman"/>
          <w:color w:val="000000"/>
          <w:sz w:val="20"/>
          <w:szCs w:val="20"/>
        </w:rPr>
        <w:t>g</w:t>
      </w:r>
      <w:r>
        <w:rPr>
          <w:rFonts w:ascii="Times New Roman" w:hAnsi="Times New Roman" w:cs="Times New Roman"/>
          <w:color w:val="000000"/>
          <w:sz w:val="20"/>
          <w:szCs w:val="20"/>
        </w:rPr>
        <w:t>nificant</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and either </w:t>
      </w:r>
      <w:r>
        <w:rPr>
          <w:rFonts w:ascii="Times New Roman" w:hAnsi="Times New Roman" w:cs="Times New Roman"/>
          <w:color w:val="000000"/>
          <w:sz w:val="20"/>
          <w:szCs w:val="20"/>
        </w:rPr>
        <w:t>“</w:t>
      </w:r>
      <w:r>
        <w:rPr>
          <w:rFonts w:ascii="Times New Roman" w:hAnsi="Times New Roman" w:cs="Times New Roman"/>
          <w:color w:val="000000"/>
          <w:sz w:val="20"/>
          <w:szCs w:val="20"/>
        </w:rPr>
        <w:t>known or virtually cer</w:t>
      </w:r>
      <w:r>
        <w:rPr>
          <w:rFonts w:ascii="Times New Roman" w:hAnsi="Times New Roman" w:cs="Times New Roman"/>
          <w:color w:val="000000"/>
          <w:sz w:val="20"/>
          <w:szCs w:val="20"/>
        </w:rPr>
        <w:t>tain.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i/>
          <w:iCs/>
          <w:color w:val="000000"/>
          <w:sz w:val="20"/>
          <w:szCs w:val="20"/>
        </w:rPr>
        <w:t xml:space="preserve">Ibid. </w:t>
      </w:r>
      <w:r>
        <w:rPr>
          <w:rFonts w:ascii="Times New Roman" w:hAnsi="Times New Roman" w:cs="Times New Roman"/>
          <w:color w:val="000000"/>
          <w:sz w:val="20"/>
          <w:szCs w:val="20"/>
        </w:rPr>
        <w:t>If the evidence ind</w:t>
      </w:r>
      <w:r>
        <w:rPr>
          <w:rFonts w:ascii="Times New Roman" w:hAnsi="Times New Roman" w:cs="Times New Roman"/>
          <w:color w:val="000000"/>
          <w:sz w:val="20"/>
          <w:szCs w:val="20"/>
        </w:rPr>
        <w:t>i</w:t>
      </w:r>
      <w:r>
        <w:rPr>
          <w:rFonts w:ascii="Times New Roman" w:hAnsi="Times New Roman" w:cs="Times New Roman"/>
          <w:color w:val="000000"/>
          <w:sz w:val="20"/>
          <w:szCs w:val="20"/>
        </w:rPr>
        <w:t xml:space="preserve">cates it is merely more likely than not that the debtor's income will increase by some minimal amount, there is no reading of the word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that permits (or requires) a court to ignore that change. The Court, in shor</w:t>
      </w:r>
      <w:r>
        <w:rPr>
          <w:rFonts w:ascii="Times New Roman" w:hAnsi="Times New Roman" w:cs="Times New Roman"/>
          <w:color w:val="000000"/>
          <w:sz w:val="20"/>
          <w:szCs w:val="20"/>
        </w:rPr>
        <w:t>t, can arrive at its compromise construction only by rewriting the st</w:t>
      </w:r>
      <w:r>
        <w:rPr>
          <w:rFonts w:ascii="Times New Roman" w:hAnsi="Times New Roman" w:cs="Times New Roman"/>
          <w:color w:val="000000"/>
          <w:sz w:val="20"/>
          <w:szCs w:val="20"/>
        </w:rPr>
        <w:t>a</w:t>
      </w:r>
      <w:r>
        <w:rPr>
          <w:rFonts w:ascii="Times New Roman" w:hAnsi="Times New Roman" w:cs="Times New Roman"/>
          <w:color w:val="000000"/>
          <w:sz w:val="20"/>
          <w:szCs w:val="20"/>
        </w:rPr>
        <w:t>tute.</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B</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The only reasonable reading that avoids deleting words Congress enacted, or adding others it did not, is this: Setting aside expenses excludable under </w:t>
      </w:r>
      <w:hyperlink r:id="rId352" w:history="1">
        <w:r>
          <w:rPr>
            <w:rFonts w:ascii="Times New Roman" w:hAnsi="Times New Roman" w:cs="Times New Roman"/>
            <w:color w:val="0000FF"/>
            <w:sz w:val="20"/>
            <w:szCs w:val="20"/>
            <w:u w:val="single"/>
          </w:rPr>
          <w:t>§ 1325(b)(2)(A)</w:t>
        </w:r>
      </w:hyperlink>
      <w:r>
        <w:rPr>
          <w:rFonts w:ascii="Times New Roman" w:hAnsi="Times New Roman" w:cs="Times New Roman"/>
          <w:color w:val="000000"/>
          <w:sz w:val="20"/>
          <w:szCs w:val="20"/>
        </w:rPr>
        <w:t xml:space="preserve"> and (B), which are not at issue here, a court must calculate the debt</w:t>
      </w:r>
      <w:r>
        <w:rPr>
          <w:rFonts w:ascii="Times New Roman" w:hAnsi="Times New Roman" w:cs="Times New Roman"/>
          <w:color w:val="000000"/>
          <w:sz w:val="20"/>
          <w:szCs w:val="20"/>
        </w:rPr>
        <w:t xml:space="preserve">or's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by multiplying his current monthly income by the number of months in the </w:t>
      </w:r>
      <w:r>
        <w:rPr>
          <w:rFonts w:ascii="Times New Roman" w:hAnsi="Times New Roman" w:cs="Times New Roman"/>
          <w:color w:val="000000"/>
          <w:sz w:val="20"/>
          <w:szCs w:val="20"/>
        </w:rPr>
        <w:t>“</w:t>
      </w:r>
      <w:r>
        <w:rPr>
          <w:rFonts w:ascii="Times New Roman" w:hAnsi="Times New Roman" w:cs="Times New Roman"/>
          <w:color w:val="000000"/>
          <w:sz w:val="20"/>
          <w:szCs w:val="20"/>
        </w:rPr>
        <w:t>applicable commi</w:t>
      </w:r>
      <w:r>
        <w:rPr>
          <w:rFonts w:ascii="Times New Roman" w:hAnsi="Times New Roman" w:cs="Times New Roman"/>
          <w:color w:val="000000"/>
          <w:sz w:val="20"/>
          <w:szCs w:val="20"/>
        </w:rPr>
        <w:t>t</w:t>
      </w:r>
      <w:r>
        <w:rPr>
          <w:rFonts w:ascii="Times New Roman" w:hAnsi="Times New Roman" w:cs="Times New Roman"/>
          <w:color w:val="000000"/>
          <w:sz w:val="20"/>
          <w:szCs w:val="20"/>
        </w:rPr>
        <w:t>ment period.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The word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this context, I agree, most sensibly refers to a calculation, prediction, or estimation of f</w:t>
      </w:r>
      <w:r>
        <w:rPr>
          <w:rFonts w:ascii="Times New Roman" w:hAnsi="Times New Roman" w:cs="Times New Roman"/>
          <w:color w:val="000000"/>
          <w:sz w:val="20"/>
          <w:szCs w:val="20"/>
        </w:rPr>
        <w:t xml:space="preserve">uture events, see Brief for United </w:t>
      </w:r>
      <w:r>
        <w:rPr>
          <w:rFonts w:ascii="Times New Roman" w:hAnsi="Times New Roman" w:cs="Times New Roman"/>
          <w:color w:val="000000"/>
          <w:sz w:val="20"/>
          <w:szCs w:val="20"/>
        </w:rPr>
        <w:lastRenderedPageBreak/>
        <w:t xml:space="preserve">States as </w:t>
      </w:r>
      <w:r>
        <w:rPr>
          <w:rFonts w:ascii="Times New Roman" w:hAnsi="Times New Roman" w:cs="Times New Roman"/>
          <w:i/>
          <w:iCs/>
          <w:color w:val="000000"/>
          <w:sz w:val="20"/>
          <w:szCs w:val="20"/>
        </w:rPr>
        <w:t>Amicus Curiae</w:t>
      </w:r>
      <w:r>
        <w:rPr>
          <w:rFonts w:ascii="Times New Roman" w:hAnsi="Times New Roman" w:cs="Times New Roman"/>
          <w:color w:val="000000"/>
          <w:sz w:val="20"/>
          <w:szCs w:val="20"/>
        </w:rPr>
        <w:t xml:space="preserve"> 12-13 (collecting dicti</w:t>
      </w:r>
      <w:r>
        <w:rPr>
          <w:rFonts w:ascii="Times New Roman" w:hAnsi="Times New Roman" w:cs="Times New Roman"/>
          <w:color w:val="000000"/>
          <w:sz w:val="20"/>
          <w:szCs w:val="20"/>
        </w:rPr>
        <w:t>o</w:t>
      </w:r>
      <w:r>
        <w:rPr>
          <w:rFonts w:ascii="Times New Roman" w:hAnsi="Times New Roman" w:cs="Times New Roman"/>
          <w:color w:val="000000"/>
          <w:sz w:val="20"/>
          <w:szCs w:val="20"/>
        </w:rPr>
        <w:t>nary definitions); see also Webster's New International Dictionary 1978 (2d ed.1957). But one assuredly can calculate, predict, or estimate future figures based on the past.</w:t>
      </w:r>
      <w:r>
        <w:rPr>
          <w:rFonts w:ascii="Times New Roman" w:hAnsi="Times New Roman" w:cs="Times New Roman"/>
          <w:color w:val="000000"/>
          <w:sz w:val="20"/>
          <w:szCs w:val="20"/>
        </w:rPr>
        <w:t xml:space="preserve"> And here Congress has commanded that a specific historical figure shall be the basis for the projection.</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The Court rejects this reading as unrealistic. A pr</w:t>
      </w:r>
      <w:r>
        <w:rPr>
          <w:rFonts w:ascii="Times New Roman" w:hAnsi="Times New Roman" w:cs="Times New Roman"/>
          <w:color w:val="000000"/>
          <w:sz w:val="20"/>
          <w:szCs w:val="20"/>
        </w:rPr>
        <w:t>o</w:t>
      </w:r>
      <w:r>
        <w:rPr>
          <w:rFonts w:ascii="Times New Roman" w:hAnsi="Times New Roman" w:cs="Times New Roman"/>
          <w:color w:val="000000"/>
          <w:sz w:val="20"/>
          <w:szCs w:val="20"/>
        </w:rPr>
        <w:t xml:space="preserve">jection, the Court explains, may be based in </w:t>
      </w:r>
      <w:r>
        <w:rPr>
          <w:rFonts w:ascii="Times New Roman" w:hAnsi="Times New Roman" w:cs="Times New Roman"/>
          <w:i/>
          <w:iCs/>
          <w:color w:val="000000"/>
          <w:sz w:val="20"/>
          <w:szCs w:val="20"/>
        </w:rPr>
        <w:t>part</w:t>
      </w:r>
      <w:r>
        <w:rPr>
          <w:rFonts w:ascii="Times New Roman" w:hAnsi="Times New Roman" w:cs="Times New Roman"/>
          <w:color w:val="000000"/>
          <w:sz w:val="20"/>
          <w:szCs w:val="20"/>
        </w:rPr>
        <w:t xml:space="preserve"> on past data, but </w:t>
      </w:r>
      <w:r>
        <w:rPr>
          <w:rFonts w:ascii="Times New Roman" w:hAnsi="Times New Roman" w:cs="Times New Roman"/>
          <w:color w:val="000000"/>
          <w:sz w:val="20"/>
          <w:szCs w:val="20"/>
        </w:rPr>
        <w:t>“</w:t>
      </w:r>
      <w:r>
        <w:rPr>
          <w:rFonts w:ascii="Times New Roman" w:hAnsi="Times New Roman" w:cs="Times New Roman"/>
          <w:color w:val="000000"/>
          <w:sz w:val="20"/>
          <w:szCs w:val="20"/>
        </w:rPr>
        <w:t>adjustments are often made b</w:t>
      </w:r>
      <w:r>
        <w:rPr>
          <w:rFonts w:ascii="Times New Roman" w:hAnsi="Times New Roman" w:cs="Times New Roman"/>
          <w:color w:val="000000"/>
          <w:sz w:val="20"/>
          <w:szCs w:val="20"/>
        </w:rPr>
        <w:t>ased on other factors that may affect the final outcome.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i/>
          <w:iCs/>
          <w:color w:val="000000"/>
          <w:sz w:val="20"/>
          <w:szCs w:val="20"/>
        </w:rPr>
        <w:t>Ante,</w:t>
      </w:r>
      <w:r>
        <w:rPr>
          <w:rFonts w:ascii="Times New Roman" w:hAnsi="Times New Roman" w:cs="Times New Roman"/>
          <w:color w:val="000000"/>
          <w:sz w:val="20"/>
          <w:szCs w:val="20"/>
        </w:rPr>
        <w:t xml:space="preserve"> at ----. Past performance is no guarantee of future results. No gambler would bet the farm using </w:t>
      </w:r>
      <w:r>
        <w:rPr>
          <w:rFonts w:ascii="Times New Roman" w:hAnsi="Times New Roman" w:cs="Times New Roman"/>
          <w:color w:val="000000"/>
          <w:sz w:val="20"/>
          <w:szCs w:val="20"/>
        </w:rPr>
        <w:t>“</w:t>
      </w:r>
      <w:r>
        <w:rPr>
          <w:rFonts w:ascii="Times New Roman" w:hAnsi="Times New Roman" w:cs="Times New Roman"/>
          <w:color w:val="000000"/>
          <w:sz w:val="20"/>
          <w:szCs w:val="20"/>
        </w:rPr>
        <w:t>project[ions]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that are based only on a football team's play </w:t>
      </w:r>
      <w:r>
        <w:rPr>
          <w:rFonts w:ascii="Times New Roman" w:hAnsi="Times New Roman" w:cs="Times New Roman"/>
          <w:i/>
          <w:iCs/>
          <w:color w:val="000000"/>
          <w:sz w:val="20"/>
          <w:szCs w:val="20"/>
        </w:rPr>
        <w:t>before</w:t>
      </w:r>
      <w:r>
        <w:rPr>
          <w:rFonts w:ascii="Times New Roman" w:hAnsi="Times New Roman" w:cs="Times New Roman"/>
          <w:color w:val="000000"/>
          <w:sz w:val="20"/>
          <w:szCs w:val="20"/>
        </w:rPr>
        <w:t xml:space="preserve"> its star quarterback was i</w:t>
      </w:r>
      <w:r>
        <w:rPr>
          <w:rFonts w:ascii="Times New Roman" w:hAnsi="Times New Roman" w:cs="Times New Roman"/>
          <w:color w:val="000000"/>
          <w:sz w:val="20"/>
          <w:szCs w:val="20"/>
        </w:rPr>
        <w:t xml:space="preserve">njured. And no pundit would keep his post if he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election results relying only on prior cycles, ignoring recent polls. So too, the Court appears to reason, it makes no sense to say a court </w:t>
      </w:r>
      <w:r>
        <w:rPr>
          <w:rFonts w:ascii="Times New Roman" w:hAnsi="Times New Roman" w:cs="Times New Roman"/>
          <w:color w:val="000000"/>
          <w:sz w:val="20"/>
          <w:szCs w:val="20"/>
        </w:rPr>
        <w:t>“</w:t>
      </w:r>
      <w:r>
        <w:rPr>
          <w:rFonts w:ascii="Times New Roman" w:hAnsi="Times New Roman" w:cs="Times New Roman"/>
          <w:color w:val="000000"/>
          <w:sz w:val="20"/>
          <w:szCs w:val="20"/>
        </w:rPr>
        <w:t>project[s]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 debtor's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when it cons</w:t>
      </w:r>
      <w:r>
        <w:rPr>
          <w:rFonts w:ascii="Times New Roman" w:hAnsi="Times New Roman" w:cs="Times New Roman"/>
          <w:color w:val="000000"/>
          <w:sz w:val="20"/>
          <w:szCs w:val="20"/>
        </w:rPr>
        <w:t xml:space="preserve">iders only what he earned in a specific 6-month period in the past. </w:t>
      </w:r>
      <w:r>
        <w:rPr>
          <w:rFonts w:ascii="Times New Roman" w:hAnsi="Times New Roman" w:cs="Times New Roman"/>
          <w:i/>
          <w:iCs/>
          <w:color w:val="000000"/>
          <w:sz w:val="20"/>
          <w:szCs w:val="20"/>
        </w:rPr>
        <w:t>Ante,</w:t>
      </w:r>
      <w:r>
        <w:rPr>
          <w:rFonts w:ascii="Times New Roman" w:hAnsi="Times New Roman" w:cs="Times New Roman"/>
          <w:color w:val="000000"/>
          <w:sz w:val="20"/>
          <w:szCs w:val="20"/>
        </w:rPr>
        <w:t xml:space="preserve"> at ---- - ----.</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*14</w:t>
      </w:r>
      <w:r>
        <w:rPr>
          <w:rFonts w:ascii="Times New Roman" w:hAnsi="Times New Roman" w:cs="Times New Roman"/>
          <w:color w:val="000000"/>
          <w:sz w:val="20"/>
          <w:szCs w:val="20"/>
        </w:rPr>
        <w:t xml:space="preserve"> Such analogies do not establish that carrying current monthly income forward to determine a de</w:t>
      </w:r>
      <w:r>
        <w:rPr>
          <w:rFonts w:ascii="Times New Roman" w:hAnsi="Times New Roman" w:cs="Times New Roman"/>
          <w:color w:val="000000"/>
          <w:sz w:val="20"/>
          <w:szCs w:val="20"/>
        </w:rPr>
        <w:t>b</w:t>
      </w:r>
      <w:r>
        <w:rPr>
          <w:rFonts w:ascii="Times New Roman" w:hAnsi="Times New Roman" w:cs="Times New Roman"/>
          <w:color w:val="000000"/>
          <w:sz w:val="20"/>
          <w:szCs w:val="20"/>
        </w:rPr>
        <w:t xml:space="preserve">tor's future ability to pay is not a </w:t>
      </w:r>
      <w:r>
        <w:rPr>
          <w:rFonts w:ascii="Times New Roman" w:hAnsi="Times New Roman" w:cs="Times New Roman"/>
          <w:color w:val="000000"/>
          <w:sz w:val="20"/>
          <w:szCs w:val="20"/>
        </w:rPr>
        <w:t>“</w:t>
      </w:r>
      <w:r>
        <w:rPr>
          <w:rFonts w:ascii="Times New Roman" w:hAnsi="Times New Roman" w:cs="Times New Roman"/>
          <w:color w:val="000000"/>
          <w:sz w:val="20"/>
          <w:szCs w:val="20"/>
        </w:rPr>
        <w:t>proje</w:t>
      </w:r>
      <w:r>
        <w:rPr>
          <w:rFonts w:ascii="Times New Roman" w:hAnsi="Times New Roman" w:cs="Times New Roman"/>
          <w:color w:val="000000"/>
          <w:sz w:val="20"/>
          <w:szCs w:val="20"/>
        </w:rPr>
        <w:t>c</w:t>
      </w:r>
      <w:r>
        <w:rPr>
          <w:rFonts w:ascii="Times New Roman" w:hAnsi="Times New Roman" w:cs="Times New Roman"/>
          <w:color w:val="000000"/>
          <w:sz w:val="20"/>
          <w:szCs w:val="20"/>
        </w:rPr>
        <w:t>tion.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They show only </w:t>
      </w:r>
      <w:r>
        <w:rPr>
          <w:rFonts w:ascii="Times New Roman" w:hAnsi="Times New Roman" w:cs="Times New Roman"/>
          <w:color w:val="000000"/>
          <w:sz w:val="20"/>
          <w:szCs w:val="20"/>
        </w:rPr>
        <w:t>that relying exclusively on past data for the projection may be a bad idea. One who is asked to predict future results, but is armed with no other i</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formation than prior performance, can still make a projection; it may simply be off the mark. Congress, of </w:t>
      </w:r>
      <w:r>
        <w:rPr>
          <w:rFonts w:ascii="Times New Roman" w:hAnsi="Times New Roman" w:cs="Times New Roman"/>
          <w:color w:val="000000"/>
          <w:sz w:val="20"/>
          <w:szCs w:val="20"/>
        </w:rPr>
        <w:t xml:space="preserve">course, could have tried to prevent that possibility by prescribing, as it has done in other contexts, that a debtor's projected disposable income be determined based on the </w:t>
      </w:r>
      <w:r>
        <w:rPr>
          <w:rFonts w:ascii="Times New Roman" w:hAnsi="Times New Roman" w:cs="Times New Roman"/>
          <w:color w:val="000000"/>
          <w:sz w:val="20"/>
          <w:szCs w:val="20"/>
        </w:rPr>
        <w:t>“</w:t>
      </w:r>
      <w:r>
        <w:rPr>
          <w:rFonts w:ascii="Times New Roman" w:hAnsi="Times New Roman" w:cs="Times New Roman"/>
          <w:color w:val="000000"/>
          <w:sz w:val="20"/>
          <w:szCs w:val="20"/>
        </w:rPr>
        <w:t>best available evidence,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353" w:history="1">
        <w:r>
          <w:rPr>
            <w:rFonts w:ascii="Times New Roman" w:hAnsi="Times New Roman" w:cs="Times New Roman"/>
            <w:color w:val="0000FF"/>
            <w:sz w:val="20"/>
            <w:szCs w:val="20"/>
            <w:u w:val="single"/>
          </w:rPr>
          <w:t>8 U.S.C. § 1364(c)(2)</w:t>
        </w:r>
      </w:hyperlink>
      <w:r>
        <w:rPr>
          <w:rFonts w:ascii="Times New Roman" w:hAnsi="Times New Roman" w:cs="Times New Roman"/>
          <w:color w:val="000000"/>
          <w:sz w:val="20"/>
          <w:szCs w:val="20"/>
        </w:rPr>
        <w:t xml:space="preserve">, or </w:t>
      </w:r>
      <w:r>
        <w:rPr>
          <w:rFonts w:ascii="Times New Roman" w:hAnsi="Times New Roman" w:cs="Times New Roman"/>
          <w:color w:val="000000"/>
          <w:sz w:val="20"/>
          <w:szCs w:val="20"/>
        </w:rPr>
        <w:t>“</w:t>
      </w:r>
      <w:r>
        <w:rPr>
          <w:rFonts w:ascii="Times New Roman" w:hAnsi="Times New Roman" w:cs="Times New Roman"/>
          <w:color w:val="000000"/>
          <w:sz w:val="20"/>
          <w:szCs w:val="20"/>
        </w:rPr>
        <w:t>any ... relevant information,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354" w:history="1">
        <w:r>
          <w:rPr>
            <w:rFonts w:ascii="Times New Roman" w:hAnsi="Times New Roman" w:cs="Times New Roman"/>
            <w:color w:val="0000FF"/>
            <w:sz w:val="20"/>
            <w:szCs w:val="20"/>
            <w:u w:val="single"/>
          </w:rPr>
          <w:t>25 U.S.C. § 2009(c)</w:t>
        </w:r>
      </w:hyperlink>
      <w:r>
        <w:rPr>
          <w:rFonts w:ascii="Times New Roman" w:hAnsi="Times New Roman" w:cs="Times New Roman"/>
          <w:color w:val="000000"/>
          <w:sz w:val="20"/>
          <w:szCs w:val="20"/>
        </w:rPr>
        <w:t>(1). But it included no such pr</w:t>
      </w:r>
      <w:r>
        <w:rPr>
          <w:rFonts w:ascii="Times New Roman" w:hAnsi="Times New Roman" w:cs="Times New Roman"/>
          <w:color w:val="000000"/>
          <w:sz w:val="20"/>
          <w:szCs w:val="20"/>
        </w:rPr>
        <w:t>e</w:t>
      </w:r>
      <w:r>
        <w:rPr>
          <w:rFonts w:ascii="Times New Roman" w:hAnsi="Times New Roman" w:cs="Times New Roman"/>
          <w:color w:val="000000"/>
          <w:sz w:val="20"/>
          <w:szCs w:val="20"/>
        </w:rPr>
        <w:t>scri</w:t>
      </w:r>
      <w:r>
        <w:rPr>
          <w:rFonts w:ascii="Times New Roman" w:hAnsi="Times New Roman" w:cs="Times New Roman"/>
          <w:color w:val="000000"/>
          <w:sz w:val="20"/>
          <w:szCs w:val="20"/>
        </w:rPr>
        <w:t>p</w:t>
      </w:r>
      <w:r>
        <w:rPr>
          <w:rFonts w:ascii="Times New Roman" w:hAnsi="Times New Roman" w:cs="Times New Roman"/>
          <w:color w:val="000000"/>
          <w:sz w:val="20"/>
          <w:szCs w:val="20"/>
        </w:rPr>
        <w:t>tion here, and instead identified the data a court should consider. Perhaps Congress concluded that other inform</w:t>
      </w:r>
      <w:r>
        <w:rPr>
          <w:rFonts w:ascii="Times New Roman" w:hAnsi="Times New Roman" w:cs="Times New Roman"/>
          <w:color w:val="000000"/>
          <w:sz w:val="20"/>
          <w:szCs w:val="20"/>
        </w:rPr>
        <w:t xml:space="preserve">ation a bankruptcy court might consider is too uncertain or too easily manipulated. Or perhaps it thought the cost of considering such information outweighed the benefits. Cf. </w:t>
      </w:r>
      <w:hyperlink r:id="rId355" w:history="1">
        <w:r>
          <w:rPr>
            <w:rFonts w:ascii="Times New Roman" w:hAnsi="Times New Roman" w:cs="Times New Roman"/>
            <w:color w:val="0000FF"/>
            <w:sz w:val="20"/>
            <w:szCs w:val="20"/>
            <w:u w:val="single"/>
          </w:rPr>
          <w:t>7 U.S.C. § 1301(b)(13)(J)</w:t>
        </w:r>
      </w:hyperlink>
      <w:r>
        <w:rPr>
          <w:rFonts w:ascii="Times New Roman" w:hAnsi="Times New Roman" w:cs="Times New Roman"/>
          <w:color w:val="000000"/>
          <w:sz w:val="20"/>
          <w:szCs w:val="20"/>
        </w:rPr>
        <w:t xml:space="preserve">-(M) (requiring national and local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yields of various crops to be adjusted only for abnormal weather, trends in yields, and produc</w:t>
      </w:r>
      <w:r>
        <w:rPr>
          <w:rFonts w:ascii="Times New Roman" w:hAnsi="Times New Roman" w:cs="Times New Roman"/>
          <w:color w:val="000000"/>
          <w:sz w:val="20"/>
          <w:szCs w:val="20"/>
        </w:rPr>
        <w:t>tion practices, apparently to the exclusion of other pr</w:t>
      </w:r>
      <w:r>
        <w:rPr>
          <w:rFonts w:ascii="Times New Roman" w:hAnsi="Times New Roman" w:cs="Times New Roman"/>
          <w:color w:val="000000"/>
          <w:sz w:val="20"/>
          <w:szCs w:val="20"/>
        </w:rPr>
        <w:t>e</w:t>
      </w:r>
      <w:r>
        <w:rPr>
          <w:rFonts w:ascii="Times New Roman" w:hAnsi="Times New Roman" w:cs="Times New Roman"/>
          <w:color w:val="000000"/>
          <w:sz w:val="20"/>
          <w:szCs w:val="20"/>
        </w:rPr>
        <w:t>sumably relevant variables such as a sudden increase or decrease in the number of producers, farm subs</w:t>
      </w:r>
      <w:r>
        <w:rPr>
          <w:rFonts w:ascii="Times New Roman" w:hAnsi="Times New Roman" w:cs="Times New Roman"/>
          <w:color w:val="000000"/>
          <w:sz w:val="20"/>
          <w:szCs w:val="20"/>
        </w:rPr>
        <w:t>i</w:t>
      </w:r>
      <w:r>
        <w:rPr>
          <w:rFonts w:ascii="Times New Roman" w:hAnsi="Times New Roman" w:cs="Times New Roman"/>
          <w:color w:val="000000"/>
          <w:sz w:val="20"/>
          <w:szCs w:val="20"/>
        </w:rPr>
        <w:t>dies, etc.). In all events, neither the reasons for nor the wisdom of the projection method Congr</w:t>
      </w:r>
      <w:r>
        <w:rPr>
          <w:rFonts w:ascii="Times New Roman" w:hAnsi="Times New Roman" w:cs="Times New Roman"/>
          <w:color w:val="000000"/>
          <w:sz w:val="20"/>
          <w:szCs w:val="20"/>
        </w:rPr>
        <w:t xml:space="preserve">ess chose has </w:t>
      </w:r>
      <w:r>
        <w:rPr>
          <w:rFonts w:ascii="Times New Roman" w:hAnsi="Times New Roman" w:cs="Times New Roman"/>
          <w:color w:val="000000"/>
          <w:sz w:val="20"/>
          <w:szCs w:val="20"/>
        </w:rPr>
        <w:lastRenderedPageBreak/>
        <w:t>any bearing on what the statute means.</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The Court contends that if Congress really meant courts to multiply a static figure by a set number of months, it would have used the word </w:t>
      </w:r>
      <w:r>
        <w:rPr>
          <w:rFonts w:ascii="Times New Roman" w:hAnsi="Times New Roman" w:cs="Times New Roman"/>
          <w:color w:val="000000"/>
          <w:sz w:val="20"/>
          <w:szCs w:val="20"/>
        </w:rPr>
        <w:t>“</w:t>
      </w:r>
      <w:r>
        <w:rPr>
          <w:rFonts w:ascii="Times New Roman" w:hAnsi="Times New Roman" w:cs="Times New Roman"/>
          <w:color w:val="000000"/>
          <w:sz w:val="20"/>
          <w:szCs w:val="20"/>
        </w:rPr>
        <w:t>mu</w:t>
      </w:r>
      <w:r>
        <w:rPr>
          <w:rFonts w:ascii="Times New Roman" w:hAnsi="Times New Roman" w:cs="Times New Roman"/>
          <w:color w:val="000000"/>
          <w:sz w:val="20"/>
          <w:szCs w:val="20"/>
        </w:rPr>
        <w:t>l</w:t>
      </w:r>
      <w:r>
        <w:rPr>
          <w:rFonts w:ascii="Times New Roman" w:hAnsi="Times New Roman" w:cs="Times New Roman"/>
          <w:color w:val="000000"/>
          <w:sz w:val="20"/>
          <w:szCs w:val="20"/>
        </w:rPr>
        <w:t>tiplied,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as it has done elsewhere-indeed, elsewhere in the</w:t>
      </w:r>
      <w:r>
        <w:rPr>
          <w:rFonts w:ascii="Times New Roman" w:hAnsi="Times New Roman" w:cs="Times New Roman"/>
          <w:color w:val="000000"/>
          <w:sz w:val="20"/>
          <w:szCs w:val="20"/>
        </w:rPr>
        <w:t xml:space="preserve"> same subsection, see, </w:t>
      </w:r>
      <w:r>
        <w:rPr>
          <w:rFonts w:ascii="Times New Roman" w:hAnsi="Times New Roman" w:cs="Times New Roman"/>
          <w:i/>
          <w:iCs/>
          <w:color w:val="000000"/>
          <w:sz w:val="20"/>
          <w:szCs w:val="20"/>
        </w:rPr>
        <w:t>e.g.,</w:t>
      </w:r>
      <w:r>
        <w:rPr>
          <w:rFonts w:ascii="Times New Roman" w:hAnsi="Times New Roman" w:cs="Times New Roman"/>
          <w:color w:val="000000"/>
          <w:sz w:val="20"/>
          <w:szCs w:val="20"/>
        </w:rPr>
        <w:t xml:space="preserve"> </w:t>
      </w:r>
      <w:hyperlink r:id="rId356" w:history="1">
        <w:r>
          <w:rPr>
            <w:rFonts w:ascii="Times New Roman" w:hAnsi="Times New Roman" w:cs="Times New Roman"/>
            <w:color w:val="0000FF"/>
            <w:sz w:val="20"/>
            <w:szCs w:val="20"/>
            <w:u w:val="single"/>
          </w:rPr>
          <w:t>11 U.S.C. § 1325(b)(3)</w:t>
        </w:r>
      </w:hyperlink>
      <w:r>
        <w:rPr>
          <w:rFonts w:ascii="Times New Roman" w:hAnsi="Times New Roman" w:cs="Times New Roman"/>
          <w:color w:val="000000"/>
          <w:sz w:val="20"/>
          <w:szCs w:val="20"/>
        </w:rPr>
        <w:t xml:space="preserve">-instead of the word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w:anchor="Document1zzB01122022242875" w:history="1">
        <w:r>
          <w:rPr>
            <w:rFonts w:ascii="Times New Roman" w:hAnsi="Times New Roman" w:cs="Times New Roman"/>
            <w:color w:val="0000FF"/>
            <w:sz w:val="20"/>
            <w:szCs w:val="20"/>
            <w:u w:val="single"/>
            <w:vertAlign w:val="superscript"/>
          </w:rPr>
          <w:t>FN2</w:t>
        </w:r>
      </w:hyperlink>
      <w:bookmarkStart w:id="57" w:name="Document1zzF01122022242875"/>
      <w:bookmarkEnd w:id="57"/>
      <w:r>
        <w:rPr>
          <w:rFonts w:ascii="Times New Roman" w:hAnsi="Times New Roman" w:cs="Times New Roman"/>
          <w:color w:val="000000"/>
          <w:sz w:val="20"/>
          <w:szCs w:val="20"/>
        </w:rPr>
        <w:t xml:space="preserve"> </w:t>
      </w:r>
      <w:r>
        <w:rPr>
          <w:rFonts w:ascii="Times New Roman" w:hAnsi="Times New Roman" w:cs="Times New Roman"/>
          <w:i/>
          <w:iCs/>
          <w:color w:val="000000"/>
          <w:sz w:val="20"/>
          <w:szCs w:val="20"/>
        </w:rPr>
        <w:t>Ante,</w:t>
      </w:r>
      <w:r>
        <w:rPr>
          <w:rFonts w:ascii="Times New Roman" w:hAnsi="Times New Roman" w:cs="Times New Roman"/>
          <w:color w:val="000000"/>
          <w:sz w:val="20"/>
          <w:szCs w:val="20"/>
        </w:rPr>
        <w:t xml:space="preserve"> at ----. I do not dispute that, as a general matter, we should presume that Congress does not ordinarily use two words in the same context to denote the same thing. But if forced to choose between (A) assuming Congress enacted text that serves no purpose </w:t>
      </w:r>
      <w:r>
        <w:rPr>
          <w:rFonts w:ascii="Times New Roman" w:hAnsi="Times New Roman" w:cs="Times New Roman"/>
          <w:color w:val="000000"/>
          <w:sz w:val="20"/>
          <w:szCs w:val="20"/>
        </w:rPr>
        <w:t>at all, (B) ascribing an u</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heard-of meaning to the word </w:t>
      </w:r>
      <w:r>
        <w:rPr>
          <w:rFonts w:ascii="Times New Roman" w:hAnsi="Times New Roman" w:cs="Times New Roman"/>
          <w:color w:val="000000"/>
          <w:sz w:val="20"/>
          <w:szCs w:val="20"/>
        </w:rPr>
        <w:t>“</w:t>
      </w:r>
      <w:r>
        <w:rPr>
          <w:rFonts w:ascii="Times New Roman" w:hAnsi="Times New Roman" w:cs="Times New Roman"/>
          <w:color w:val="000000"/>
          <w:sz w:val="20"/>
          <w:szCs w:val="20"/>
        </w:rPr>
        <w:t>projected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(loaded with made-to-order restrictions) simply to avoid u</w:t>
      </w:r>
      <w:r>
        <w:rPr>
          <w:rFonts w:ascii="Times New Roman" w:hAnsi="Times New Roman" w:cs="Times New Roman"/>
          <w:color w:val="000000"/>
          <w:sz w:val="20"/>
          <w:szCs w:val="20"/>
        </w:rPr>
        <w:t>n</w:t>
      </w:r>
      <w:r>
        <w:rPr>
          <w:rFonts w:ascii="Times New Roman" w:hAnsi="Times New Roman" w:cs="Times New Roman"/>
          <w:color w:val="000000"/>
          <w:sz w:val="20"/>
          <w:szCs w:val="20"/>
        </w:rPr>
        <w:t>desirable results, or (C) assuming Congress employed synonyms to express a single idea, the last is o</w:t>
      </w:r>
      <w:r>
        <w:rPr>
          <w:rFonts w:ascii="Times New Roman" w:hAnsi="Times New Roman" w:cs="Times New Roman"/>
          <w:color w:val="000000"/>
          <w:sz w:val="20"/>
          <w:szCs w:val="20"/>
        </w:rPr>
        <w:t>b</w:t>
      </w:r>
      <w:r>
        <w:rPr>
          <w:rFonts w:ascii="Times New Roman" w:hAnsi="Times New Roman" w:cs="Times New Roman"/>
          <w:color w:val="000000"/>
          <w:sz w:val="20"/>
          <w:szCs w:val="20"/>
        </w:rPr>
        <w:t>viously the least evil.</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ind w:left="720"/>
        <w:jc w:val="both"/>
        <w:rPr>
          <w:rFonts w:ascii="Times New Roman" w:hAnsi="Times New Roman" w:cs="Times New Roman"/>
          <w:color w:val="000000"/>
          <w:sz w:val="24"/>
          <w:szCs w:val="24"/>
        </w:rPr>
      </w:pPr>
      <w:hyperlink w:anchor="Document1zzF01122022242875" w:history="1">
        <w:r>
          <w:rPr>
            <w:rFonts w:ascii="Times New Roman" w:hAnsi="Times New Roman" w:cs="Times New Roman"/>
            <w:color w:val="0000FF"/>
            <w:sz w:val="20"/>
            <w:szCs w:val="20"/>
            <w:u w:val="single"/>
          </w:rPr>
          <w:t>FN2.</w:t>
        </w:r>
      </w:hyperlink>
      <w:bookmarkStart w:id="58" w:name="Document1zzB01122022242875"/>
      <w:bookmarkEnd w:id="58"/>
      <w:r>
        <w:rPr>
          <w:rFonts w:ascii="Times New Roman" w:hAnsi="Times New Roman" w:cs="Times New Roman"/>
          <w:color w:val="000000"/>
          <w:sz w:val="20"/>
          <w:szCs w:val="20"/>
        </w:rPr>
        <w:t xml:space="preserve"> Of course, since the number of months in the commitment period may vary, Co</w:t>
      </w:r>
      <w:r>
        <w:rPr>
          <w:rFonts w:ascii="Times New Roman" w:hAnsi="Times New Roman" w:cs="Times New Roman"/>
          <w:color w:val="000000"/>
          <w:sz w:val="20"/>
          <w:szCs w:val="20"/>
        </w:rPr>
        <w:t>n</w:t>
      </w:r>
      <w:r>
        <w:rPr>
          <w:rFonts w:ascii="Times New Roman" w:hAnsi="Times New Roman" w:cs="Times New Roman"/>
          <w:color w:val="000000"/>
          <w:sz w:val="20"/>
          <w:szCs w:val="20"/>
        </w:rPr>
        <w:t>gress could not simply have substituted a single word, but would have had to writ</w:t>
      </w:r>
      <w:r>
        <w:rPr>
          <w:rFonts w:ascii="Times New Roman" w:hAnsi="Times New Roman" w:cs="Times New Roman"/>
          <w:color w:val="000000"/>
          <w:sz w:val="20"/>
          <w:szCs w:val="20"/>
        </w:rPr>
        <w:t xml:space="preserve">e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 multiplied by the number of months in the applicable commitment p</w:t>
      </w:r>
      <w:r>
        <w:rPr>
          <w:rFonts w:ascii="Times New Roman" w:hAnsi="Times New Roman" w:cs="Times New Roman"/>
          <w:color w:val="000000"/>
          <w:sz w:val="20"/>
          <w:szCs w:val="20"/>
        </w:rPr>
        <w:t>e</w:t>
      </w:r>
      <w:r>
        <w:rPr>
          <w:rFonts w:ascii="Times New Roman" w:hAnsi="Times New Roman" w:cs="Times New Roman"/>
          <w:color w:val="000000"/>
          <w:sz w:val="20"/>
          <w:szCs w:val="20"/>
        </w:rPr>
        <w:t>riod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or some such phrase.</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In any event, we are not put to that choice here. While under my reading a court must determine the </w:t>
      </w:r>
      <w:r>
        <w:rPr>
          <w:rFonts w:ascii="Times New Roman" w:hAnsi="Times New Roman" w:cs="Times New Roman"/>
          <w:i/>
          <w:iCs/>
          <w:color w:val="000000"/>
          <w:sz w:val="20"/>
          <w:szCs w:val="20"/>
        </w:rPr>
        <w:t>income</w:t>
      </w:r>
      <w:r>
        <w:rPr>
          <w:rFonts w:ascii="Times New Roman" w:hAnsi="Times New Roman" w:cs="Times New Roman"/>
          <w:color w:val="000000"/>
          <w:sz w:val="20"/>
          <w:szCs w:val="20"/>
        </w:rPr>
        <w:t xml:space="preserve"> half of the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projected disposable </w:t>
      </w:r>
      <w:r>
        <w:rPr>
          <w:rFonts w:ascii="Times New Roman" w:hAnsi="Times New Roman" w:cs="Times New Roman"/>
          <w:color w:val="000000"/>
          <w:sz w:val="20"/>
          <w:szCs w:val="20"/>
        </w:rPr>
        <w:t>i</w:t>
      </w:r>
      <w:r>
        <w:rPr>
          <w:rFonts w:ascii="Times New Roman" w:hAnsi="Times New Roman" w:cs="Times New Roman"/>
          <w:color w:val="000000"/>
          <w:sz w:val="20"/>
          <w:szCs w:val="20"/>
        </w:rPr>
        <w:t>n</w:t>
      </w:r>
      <w:r>
        <w:rPr>
          <w:rFonts w:ascii="Times New Roman" w:hAnsi="Times New Roman" w:cs="Times New Roman"/>
          <w:color w:val="000000"/>
          <w:sz w:val="20"/>
          <w:szCs w:val="20"/>
        </w:rPr>
        <w:t>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equation by multiplying a fixed number, that is not necessarily true of the </w:t>
      </w:r>
      <w:r>
        <w:rPr>
          <w:rFonts w:ascii="Times New Roman" w:hAnsi="Times New Roman" w:cs="Times New Roman"/>
          <w:i/>
          <w:iCs/>
          <w:color w:val="000000"/>
          <w:sz w:val="20"/>
          <w:szCs w:val="20"/>
        </w:rPr>
        <w:t>expenses</w:t>
      </w:r>
      <w:r>
        <w:rPr>
          <w:rFonts w:ascii="Times New Roman" w:hAnsi="Times New Roman" w:cs="Times New Roman"/>
          <w:color w:val="000000"/>
          <w:sz w:val="20"/>
          <w:szCs w:val="20"/>
        </w:rPr>
        <w:t xml:space="preserve"> excludable under </w:t>
      </w:r>
      <w:hyperlink r:id="rId357" w:history="1">
        <w:r>
          <w:rPr>
            <w:rFonts w:ascii="Times New Roman" w:hAnsi="Times New Roman" w:cs="Times New Roman"/>
            <w:color w:val="0000FF"/>
            <w:sz w:val="20"/>
            <w:szCs w:val="20"/>
            <w:u w:val="single"/>
          </w:rPr>
          <w:t>§ 1325(b)(2)(A)</w:t>
        </w:r>
      </w:hyperlink>
      <w:r>
        <w:rPr>
          <w:rFonts w:ascii="Times New Roman" w:hAnsi="Times New Roman" w:cs="Times New Roman"/>
          <w:color w:val="000000"/>
          <w:sz w:val="20"/>
          <w:szCs w:val="20"/>
        </w:rPr>
        <w:t xml:space="preserve"> and (B). Unlike the debtor's current monthly income, none of the three types of expenses-payments for the su</w:t>
      </w:r>
      <w:r>
        <w:rPr>
          <w:rFonts w:ascii="Times New Roman" w:hAnsi="Times New Roman" w:cs="Times New Roman"/>
          <w:color w:val="000000"/>
          <w:sz w:val="20"/>
          <w:szCs w:val="20"/>
        </w:rPr>
        <w:t>p</w:t>
      </w:r>
      <w:r>
        <w:rPr>
          <w:rFonts w:ascii="Times New Roman" w:hAnsi="Times New Roman" w:cs="Times New Roman"/>
          <w:color w:val="000000"/>
          <w:sz w:val="20"/>
          <w:szCs w:val="20"/>
        </w:rPr>
        <w:t>port of the debtor and his dependents, charitable co</w:t>
      </w:r>
      <w:r>
        <w:rPr>
          <w:rFonts w:ascii="Times New Roman" w:hAnsi="Times New Roman" w:cs="Times New Roman"/>
          <w:color w:val="000000"/>
          <w:sz w:val="20"/>
          <w:szCs w:val="20"/>
        </w:rPr>
        <w:t>n</w:t>
      </w:r>
      <w:r>
        <w:rPr>
          <w:rFonts w:ascii="Times New Roman" w:hAnsi="Times New Roman" w:cs="Times New Roman"/>
          <w:color w:val="000000"/>
          <w:sz w:val="20"/>
          <w:szCs w:val="20"/>
        </w:rPr>
        <w:t>tributions, and expenses to keep an existing business</w:t>
      </w:r>
      <w:r>
        <w:rPr>
          <w:rFonts w:ascii="Times New Roman" w:hAnsi="Times New Roman" w:cs="Times New Roman"/>
          <w:color w:val="000000"/>
          <w:sz w:val="20"/>
          <w:szCs w:val="20"/>
        </w:rPr>
        <w:t xml:space="preserve"> above water-is explicitly defined in terms of historical figures (at least for debtors with incomes below the state median). The first of those cannot possibly (in many cases) be determined based on the same 6-month period from which current monthly incom</w:t>
      </w:r>
      <w:r>
        <w:rPr>
          <w:rFonts w:ascii="Times New Roman" w:hAnsi="Times New Roman" w:cs="Times New Roman"/>
          <w:color w:val="000000"/>
          <w:sz w:val="20"/>
          <w:szCs w:val="20"/>
        </w:rPr>
        <w:t xml:space="preserve">e is derived, </w:t>
      </w:r>
      <w:hyperlink w:anchor="Document1zzB01232022242875" w:history="1">
        <w:r>
          <w:rPr>
            <w:rFonts w:ascii="Times New Roman" w:hAnsi="Times New Roman" w:cs="Times New Roman"/>
            <w:color w:val="0000FF"/>
            <w:sz w:val="20"/>
            <w:szCs w:val="20"/>
            <w:u w:val="single"/>
            <w:vertAlign w:val="superscript"/>
          </w:rPr>
          <w:t>FN3</w:t>
        </w:r>
      </w:hyperlink>
      <w:bookmarkStart w:id="59" w:name="Document1zzF01232022242875"/>
      <w:bookmarkEnd w:id="59"/>
      <w:r>
        <w:rPr>
          <w:rFonts w:ascii="Times New Roman" w:hAnsi="Times New Roman" w:cs="Times New Roman"/>
          <w:color w:val="000000"/>
          <w:sz w:val="20"/>
          <w:szCs w:val="20"/>
        </w:rPr>
        <w:t xml:space="preserve"> and the texts of the other two are consi</w:t>
      </w:r>
      <w:r>
        <w:rPr>
          <w:rFonts w:ascii="Times New Roman" w:hAnsi="Times New Roman" w:cs="Times New Roman"/>
          <w:color w:val="000000"/>
          <w:sz w:val="20"/>
          <w:szCs w:val="20"/>
        </w:rPr>
        <w:t>s</w:t>
      </w:r>
      <w:r>
        <w:rPr>
          <w:rFonts w:ascii="Times New Roman" w:hAnsi="Times New Roman" w:cs="Times New Roman"/>
          <w:color w:val="000000"/>
          <w:sz w:val="20"/>
          <w:szCs w:val="20"/>
        </w:rPr>
        <w:t xml:space="preserve">tent with determining expenses based on expectations. See </w:t>
      </w:r>
      <w:hyperlink r:id="rId358" w:history="1">
        <w:r>
          <w:rPr>
            <w:rFonts w:ascii="Times New Roman" w:hAnsi="Times New Roman" w:cs="Times New Roman"/>
            <w:color w:val="0000FF"/>
            <w:sz w:val="20"/>
            <w:szCs w:val="20"/>
            <w:u w:val="single"/>
          </w:rPr>
          <w:t>§ 1325(b)(2)(A)(ii)</w:t>
        </w:r>
      </w:hyperlink>
      <w:r>
        <w:rPr>
          <w:rFonts w:ascii="Times New Roman" w:hAnsi="Times New Roman" w:cs="Times New Roman"/>
          <w:color w:val="000000"/>
          <w:sz w:val="20"/>
          <w:szCs w:val="20"/>
        </w:rPr>
        <w:t xml:space="preserve"> (charitable expenses to qual</w:t>
      </w:r>
      <w:r>
        <w:rPr>
          <w:rFonts w:ascii="Times New Roman" w:hAnsi="Times New Roman" w:cs="Times New Roman"/>
          <w:color w:val="000000"/>
          <w:sz w:val="20"/>
          <w:szCs w:val="20"/>
        </w:rPr>
        <w:t>i</w:t>
      </w:r>
      <w:r>
        <w:rPr>
          <w:rFonts w:ascii="Times New Roman" w:hAnsi="Times New Roman" w:cs="Times New Roman"/>
          <w:color w:val="000000"/>
          <w:sz w:val="20"/>
          <w:szCs w:val="20"/>
        </w:rPr>
        <w:t xml:space="preserve">fied entities limited to </w:t>
      </w:r>
      <w:r>
        <w:rPr>
          <w:rFonts w:ascii="Times New Roman" w:hAnsi="Times New Roman" w:cs="Times New Roman"/>
          <w:color w:val="000000"/>
          <w:sz w:val="20"/>
          <w:szCs w:val="20"/>
        </w:rPr>
        <w:t>“</w:t>
      </w:r>
      <w:r>
        <w:rPr>
          <w:rFonts w:ascii="Times New Roman" w:hAnsi="Times New Roman" w:cs="Times New Roman"/>
          <w:color w:val="000000"/>
          <w:sz w:val="20"/>
          <w:szCs w:val="20"/>
        </w:rPr>
        <w:t>15 percent of gross income of the debtor for the year</w:t>
      </w:r>
      <w:r>
        <w:rPr>
          <w:rFonts w:ascii="Times New Roman" w:hAnsi="Times New Roman" w:cs="Times New Roman"/>
          <w:color w:val="000000"/>
          <w:sz w:val="20"/>
          <w:szCs w:val="20"/>
        </w:rPr>
        <w:t xml:space="preserve"> in which the contrib</w:t>
      </w:r>
      <w:r>
        <w:rPr>
          <w:rFonts w:ascii="Times New Roman" w:hAnsi="Times New Roman" w:cs="Times New Roman"/>
          <w:color w:val="000000"/>
          <w:sz w:val="20"/>
          <w:szCs w:val="20"/>
        </w:rPr>
        <w:t>u</w:t>
      </w:r>
      <w:r>
        <w:rPr>
          <w:rFonts w:ascii="Times New Roman" w:hAnsi="Times New Roman" w:cs="Times New Roman"/>
          <w:color w:val="000000"/>
          <w:sz w:val="20"/>
          <w:szCs w:val="20"/>
        </w:rPr>
        <w:t>tions are made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359" w:history="1">
        <w:r>
          <w:rPr>
            <w:rFonts w:ascii="Times New Roman" w:hAnsi="Times New Roman" w:cs="Times New Roman"/>
            <w:color w:val="0000FF"/>
            <w:sz w:val="20"/>
            <w:szCs w:val="20"/>
            <w:u w:val="single"/>
          </w:rPr>
          <w:t>§ 1325(b)(2)(B)</w:t>
        </w:r>
      </w:hyperlink>
      <w:r>
        <w:rPr>
          <w:rFonts w:ascii="Times New Roman" w:hAnsi="Times New Roman" w:cs="Times New Roman"/>
          <w:color w:val="000000"/>
          <w:sz w:val="20"/>
          <w:szCs w:val="20"/>
        </w:rPr>
        <w:t xml:space="preserve"> ( </w:t>
      </w:r>
      <w:r>
        <w:rPr>
          <w:rFonts w:ascii="Times New Roman" w:hAnsi="Times New Roman" w:cs="Times New Roman"/>
          <w:color w:val="000000"/>
          <w:sz w:val="20"/>
          <w:szCs w:val="20"/>
        </w:rPr>
        <w:t>“</w:t>
      </w:r>
      <w:r>
        <w:rPr>
          <w:rFonts w:ascii="Times New Roman" w:hAnsi="Times New Roman" w:cs="Times New Roman"/>
          <w:color w:val="000000"/>
          <w:sz w:val="20"/>
          <w:szCs w:val="20"/>
        </w:rPr>
        <w:t>expenditures necessary for</w:t>
      </w:r>
      <w:r>
        <w:rPr>
          <w:rFonts w:ascii="Times New Roman" w:hAnsi="Times New Roman" w:cs="Times New Roman"/>
          <w:color w:val="000000"/>
          <w:sz w:val="20"/>
          <w:szCs w:val="20"/>
        </w:rPr>
        <w:t xml:space="preserve"> the continuation, preservation, and operation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of a business in which the debtor is engaged).</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ind w:left="720"/>
        <w:jc w:val="both"/>
        <w:rPr>
          <w:rFonts w:ascii="Times New Roman" w:hAnsi="Times New Roman" w:cs="Times New Roman"/>
          <w:color w:val="000000"/>
          <w:sz w:val="24"/>
          <w:szCs w:val="24"/>
        </w:rPr>
      </w:pPr>
      <w:hyperlink w:anchor="Document1zzF01232022242875" w:history="1">
        <w:r>
          <w:rPr>
            <w:rFonts w:ascii="Times New Roman" w:hAnsi="Times New Roman" w:cs="Times New Roman"/>
            <w:color w:val="0000FF"/>
            <w:sz w:val="20"/>
            <w:szCs w:val="20"/>
            <w:u w:val="single"/>
          </w:rPr>
          <w:t>FN3.</w:t>
        </w:r>
      </w:hyperlink>
      <w:bookmarkStart w:id="60" w:name="Document1zzB01232022242875"/>
      <w:bookmarkEnd w:id="60"/>
      <w:r>
        <w:rPr>
          <w:rFonts w:ascii="Times New Roman" w:hAnsi="Times New Roman" w:cs="Times New Roman"/>
          <w:color w:val="000000"/>
          <w:sz w:val="20"/>
          <w:szCs w:val="20"/>
        </w:rPr>
        <w:t xml:space="preserve"> For a debtor whose income is below the </w:t>
      </w:r>
      <w:r>
        <w:rPr>
          <w:rFonts w:ascii="Times New Roman" w:hAnsi="Times New Roman" w:cs="Times New Roman"/>
          <w:color w:val="000000"/>
          <w:sz w:val="20"/>
          <w:szCs w:val="20"/>
        </w:rPr>
        <w:lastRenderedPageBreak/>
        <w:t>state median, exclud</w:t>
      </w:r>
      <w:r>
        <w:rPr>
          <w:rFonts w:ascii="Times New Roman" w:hAnsi="Times New Roman" w:cs="Times New Roman"/>
          <w:color w:val="000000"/>
          <w:sz w:val="20"/>
          <w:szCs w:val="20"/>
        </w:rPr>
        <w:t xml:space="preserve">able expenses include domestic-support obligations </w:t>
      </w:r>
      <w:r>
        <w:rPr>
          <w:rFonts w:ascii="Times New Roman" w:hAnsi="Times New Roman" w:cs="Times New Roman"/>
          <w:color w:val="000000"/>
          <w:sz w:val="20"/>
          <w:szCs w:val="20"/>
        </w:rPr>
        <w:t>“</w:t>
      </w:r>
      <w:r>
        <w:rPr>
          <w:rFonts w:ascii="Times New Roman" w:hAnsi="Times New Roman" w:cs="Times New Roman"/>
          <w:color w:val="000000"/>
          <w:sz w:val="20"/>
          <w:szCs w:val="20"/>
        </w:rPr>
        <w:t>that first b</w:t>
      </w:r>
      <w:r>
        <w:rPr>
          <w:rFonts w:ascii="Times New Roman" w:hAnsi="Times New Roman" w:cs="Times New Roman"/>
          <w:color w:val="000000"/>
          <w:sz w:val="20"/>
          <w:szCs w:val="20"/>
        </w:rPr>
        <w:t>e</w:t>
      </w:r>
      <w:r>
        <w:rPr>
          <w:rFonts w:ascii="Times New Roman" w:hAnsi="Times New Roman" w:cs="Times New Roman"/>
          <w:color w:val="000000"/>
          <w:sz w:val="20"/>
          <w:szCs w:val="20"/>
        </w:rPr>
        <w:t>com[e] payable after the date the petition is filed,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360" w:history="1">
        <w:r>
          <w:rPr>
            <w:rFonts w:ascii="Times New Roman" w:hAnsi="Times New Roman" w:cs="Times New Roman"/>
            <w:color w:val="0000FF"/>
            <w:sz w:val="20"/>
            <w:szCs w:val="20"/>
            <w:u w:val="single"/>
          </w:rPr>
          <w:t>§ 1325(b)(2)(A)(i)</w:t>
        </w:r>
      </w:hyperlink>
      <w:r>
        <w:rPr>
          <w:rFonts w:ascii="Times New Roman" w:hAnsi="Times New Roman" w:cs="Times New Roman"/>
          <w:color w:val="000000"/>
          <w:sz w:val="20"/>
          <w:szCs w:val="20"/>
        </w:rPr>
        <w:t xml:space="preserve">-that is, </w:t>
      </w:r>
      <w:r>
        <w:rPr>
          <w:rFonts w:ascii="Times New Roman" w:hAnsi="Times New Roman" w:cs="Times New Roman"/>
          <w:i/>
          <w:iCs/>
          <w:color w:val="000000"/>
          <w:sz w:val="20"/>
          <w:szCs w:val="20"/>
        </w:rPr>
        <w:t xml:space="preserve">after </w:t>
      </w:r>
      <w:r>
        <w:rPr>
          <w:rFonts w:ascii="Times New Roman" w:hAnsi="Times New Roman" w:cs="Times New Roman"/>
          <w:color w:val="000000"/>
          <w:sz w:val="20"/>
          <w:szCs w:val="20"/>
        </w:rPr>
        <w:t xml:space="preserve">the six-month window relevant to the debtor's current monthly income has closed (unless the debtor does not file a current-income schedule), see </w:t>
      </w:r>
      <w:hyperlink r:id="rId361" w:history="1">
        <w:r>
          <w:rPr>
            <w:rFonts w:ascii="Times New Roman" w:hAnsi="Times New Roman" w:cs="Times New Roman"/>
            <w:color w:val="0000FF"/>
            <w:sz w:val="20"/>
            <w:szCs w:val="20"/>
            <w:u w:val="single"/>
          </w:rPr>
          <w:t>§ 101(10A)(A)(i)</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*15</w:t>
      </w:r>
      <w:r>
        <w:rPr>
          <w:rFonts w:ascii="Times New Roman" w:hAnsi="Times New Roman" w:cs="Times New Roman"/>
          <w:color w:val="000000"/>
          <w:sz w:val="20"/>
          <w:szCs w:val="20"/>
        </w:rPr>
        <w:t xml:space="preserve"> In short, a debtor's projected disposable income consists of two parts: one (current monthly income) that </w:t>
      </w:r>
      <w:r>
        <w:rPr>
          <w:rFonts w:ascii="Times New Roman" w:hAnsi="Times New Roman" w:cs="Times New Roman"/>
          <w:color w:val="000000"/>
          <w:sz w:val="20"/>
          <w:szCs w:val="20"/>
        </w:rPr>
        <w:t>is fixed once for all based on hi</w:t>
      </w:r>
      <w:r>
        <w:rPr>
          <w:rFonts w:ascii="Times New Roman" w:hAnsi="Times New Roman" w:cs="Times New Roman"/>
          <w:color w:val="000000"/>
          <w:sz w:val="20"/>
          <w:szCs w:val="20"/>
        </w:rPr>
        <w:t>s</w:t>
      </w:r>
      <w:r>
        <w:rPr>
          <w:rFonts w:ascii="Times New Roman" w:hAnsi="Times New Roman" w:cs="Times New Roman"/>
          <w:color w:val="000000"/>
          <w:sz w:val="20"/>
          <w:szCs w:val="20"/>
        </w:rPr>
        <w:t>torical data, and another (the enumerated expenses) that at least arg</w:t>
      </w:r>
      <w:r>
        <w:rPr>
          <w:rFonts w:ascii="Times New Roman" w:hAnsi="Times New Roman" w:cs="Times New Roman"/>
          <w:color w:val="000000"/>
          <w:sz w:val="20"/>
          <w:szCs w:val="20"/>
        </w:rPr>
        <w:t>u</w:t>
      </w:r>
      <w:r>
        <w:rPr>
          <w:rFonts w:ascii="Times New Roman" w:hAnsi="Times New Roman" w:cs="Times New Roman"/>
          <w:color w:val="000000"/>
          <w:sz w:val="20"/>
          <w:szCs w:val="20"/>
        </w:rPr>
        <w:t>ably depends on estimations of the debtor's future circumstances. The statute thus requires the court to predict the difference between two figures, eac</w:t>
      </w:r>
      <w:r>
        <w:rPr>
          <w:rFonts w:ascii="Times New Roman" w:hAnsi="Times New Roman" w:cs="Times New Roman"/>
          <w:color w:val="000000"/>
          <w:sz w:val="20"/>
          <w:szCs w:val="20"/>
        </w:rPr>
        <w:t>h of which depends on the duration of the commitment period, and one of which also turns partly on facts besides historical data. In light of all this, it seems to me not at all unusual to describe this process as pr</w:t>
      </w:r>
      <w:r>
        <w:rPr>
          <w:rFonts w:ascii="Times New Roman" w:hAnsi="Times New Roman" w:cs="Times New Roman"/>
          <w:color w:val="000000"/>
          <w:sz w:val="20"/>
          <w:szCs w:val="20"/>
        </w:rPr>
        <w:t>o</w:t>
      </w:r>
      <w:r>
        <w:rPr>
          <w:rFonts w:ascii="Times New Roman" w:hAnsi="Times New Roman" w:cs="Times New Roman"/>
          <w:color w:val="000000"/>
          <w:sz w:val="20"/>
          <w:szCs w:val="20"/>
        </w:rPr>
        <w:t>jection, not merely multiplication.</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C</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The Court's remaining arguments about the statute's meaning are easily dispatched. A </w:t>
      </w:r>
      <w:r>
        <w:rPr>
          <w:rFonts w:ascii="Times New Roman" w:hAnsi="Times New Roman" w:cs="Times New Roman"/>
          <w:color w:val="000000"/>
          <w:sz w:val="20"/>
          <w:szCs w:val="20"/>
        </w:rPr>
        <w:t>“</w:t>
      </w:r>
      <w:r>
        <w:rPr>
          <w:rFonts w:ascii="Times New Roman" w:hAnsi="Times New Roman" w:cs="Times New Roman"/>
          <w:color w:val="000000"/>
          <w:sz w:val="20"/>
          <w:szCs w:val="20"/>
        </w:rPr>
        <w:t>mechanical</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rea</w:t>
      </w:r>
      <w:r>
        <w:rPr>
          <w:rFonts w:ascii="Times New Roman" w:hAnsi="Times New Roman" w:cs="Times New Roman"/>
          <w:color w:val="000000"/>
          <w:sz w:val="20"/>
          <w:szCs w:val="20"/>
        </w:rPr>
        <w:t>d</w:t>
      </w:r>
      <w:r>
        <w:rPr>
          <w:rFonts w:ascii="Times New Roman" w:hAnsi="Times New Roman" w:cs="Times New Roman"/>
          <w:color w:val="000000"/>
          <w:sz w:val="20"/>
          <w:szCs w:val="20"/>
        </w:rPr>
        <w:t xml:space="preserve">ing of projected disposable income, it contends, renders superfluous the phrase </w:t>
      </w:r>
      <w:r>
        <w:rPr>
          <w:rFonts w:ascii="Times New Roman" w:hAnsi="Times New Roman" w:cs="Times New Roman"/>
          <w:color w:val="000000"/>
          <w:sz w:val="20"/>
          <w:szCs w:val="20"/>
        </w:rPr>
        <w:t>“</w:t>
      </w:r>
      <w:r>
        <w:rPr>
          <w:rFonts w:ascii="Times New Roman" w:hAnsi="Times New Roman" w:cs="Times New Roman"/>
          <w:color w:val="000000"/>
          <w:sz w:val="20"/>
          <w:szCs w:val="20"/>
        </w:rPr>
        <w:t>to be received in the applicable commitment period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w:t>
      </w:r>
      <w:hyperlink r:id="rId362" w:history="1">
        <w:r>
          <w:rPr>
            <w:rFonts w:ascii="Times New Roman" w:hAnsi="Times New Roman" w:cs="Times New Roman"/>
            <w:color w:val="0000FF"/>
            <w:sz w:val="20"/>
            <w:szCs w:val="20"/>
            <w:u w:val="single"/>
          </w:rPr>
          <w:t>§ 1325(b)(1)(B)</w:t>
        </w:r>
      </w:hyperlink>
      <w:r>
        <w:rPr>
          <w:rFonts w:ascii="Times New Roman" w:hAnsi="Times New Roman" w:cs="Times New Roman"/>
          <w:color w:val="000000"/>
          <w:sz w:val="20"/>
          <w:szCs w:val="20"/>
        </w:rPr>
        <w:t xml:space="preserve">. </w:t>
      </w:r>
      <w:r>
        <w:rPr>
          <w:rFonts w:ascii="Times New Roman" w:hAnsi="Times New Roman" w:cs="Times New Roman"/>
          <w:i/>
          <w:iCs/>
          <w:color w:val="000000"/>
          <w:sz w:val="20"/>
          <w:szCs w:val="20"/>
        </w:rPr>
        <w:t>Ante,</w:t>
      </w:r>
      <w:r>
        <w:rPr>
          <w:rFonts w:ascii="Times New Roman" w:hAnsi="Times New Roman" w:cs="Times New Roman"/>
          <w:color w:val="000000"/>
          <w:sz w:val="20"/>
          <w:szCs w:val="20"/>
        </w:rPr>
        <w:t xml:space="preserve"> at ----. Not at all. That phrase defines the period for which a debtor's dispos</w:t>
      </w:r>
      <w:r>
        <w:rPr>
          <w:rFonts w:ascii="Times New Roman" w:hAnsi="Times New Roman" w:cs="Times New Roman"/>
          <w:color w:val="000000"/>
          <w:sz w:val="20"/>
          <w:szCs w:val="20"/>
        </w:rPr>
        <w:t>able income must be ca</w:t>
      </w:r>
      <w:r>
        <w:rPr>
          <w:rFonts w:ascii="Times New Roman" w:hAnsi="Times New Roman" w:cs="Times New Roman"/>
          <w:color w:val="000000"/>
          <w:sz w:val="20"/>
          <w:szCs w:val="20"/>
        </w:rPr>
        <w:t>l</w:t>
      </w:r>
      <w:r>
        <w:rPr>
          <w:rFonts w:ascii="Times New Roman" w:hAnsi="Times New Roman" w:cs="Times New Roman"/>
          <w:color w:val="000000"/>
          <w:sz w:val="20"/>
          <w:szCs w:val="20"/>
        </w:rPr>
        <w:t>culated (</w:t>
      </w:r>
      <w:r>
        <w:rPr>
          <w:rFonts w:ascii="Times New Roman" w:hAnsi="Times New Roman" w:cs="Times New Roman"/>
          <w:i/>
          <w:iCs/>
          <w:color w:val="000000"/>
          <w:sz w:val="20"/>
          <w:szCs w:val="20"/>
        </w:rPr>
        <w:t>i.e.,</w:t>
      </w:r>
      <w:r>
        <w:rPr>
          <w:rFonts w:ascii="Times New Roman" w:hAnsi="Times New Roman" w:cs="Times New Roman"/>
          <w:color w:val="000000"/>
          <w:sz w:val="20"/>
          <w:szCs w:val="20"/>
        </w:rPr>
        <w:t xml:space="preserve"> the period over which the projection extends), and thus the amount the debtor must ult</w:t>
      </w:r>
      <w:r>
        <w:rPr>
          <w:rFonts w:ascii="Times New Roman" w:hAnsi="Times New Roman" w:cs="Times New Roman"/>
          <w:color w:val="000000"/>
          <w:sz w:val="20"/>
          <w:szCs w:val="20"/>
        </w:rPr>
        <w:t>i</w:t>
      </w:r>
      <w:r>
        <w:rPr>
          <w:rFonts w:ascii="Times New Roman" w:hAnsi="Times New Roman" w:cs="Times New Roman"/>
          <w:color w:val="000000"/>
          <w:sz w:val="20"/>
          <w:szCs w:val="20"/>
        </w:rPr>
        <w:t>mately pay his unsecured creditors.</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Similarly insubstantial is the Court's claim regarding the requirement that the plan provide t</w:t>
      </w:r>
      <w:r>
        <w:rPr>
          <w:rFonts w:ascii="Times New Roman" w:hAnsi="Times New Roman" w:cs="Times New Roman"/>
          <w:color w:val="000000"/>
          <w:sz w:val="20"/>
          <w:szCs w:val="20"/>
        </w:rPr>
        <w:t xml:space="preserve">hat the debtor's projected disposable income </w:t>
      </w:r>
      <w:r>
        <w:rPr>
          <w:rFonts w:ascii="Times New Roman" w:hAnsi="Times New Roman" w:cs="Times New Roman"/>
          <w:color w:val="000000"/>
          <w:sz w:val="20"/>
          <w:szCs w:val="20"/>
        </w:rPr>
        <w:t>“</w:t>
      </w:r>
      <w:r>
        <w:rPr>
          <w:rFonts w:ascii="Times New Roman" w:hAnsi="Times New Roman" w:cs="Times New Roman"/>
          <w:color w:val="000000"/>
          <w:sz w:val="20"/>
          <w:szCs w:val="20"/>
        </w:rPr>
        <w:t>will be applied to make payments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toward unsecured creditors' claims, </w:t>
      </w:r>
      <w:hyperlink r:id="rId363" w:history="1">
        <w:r>
          <w:rPr>
            <w:rFonts w:ascii="Times New Roman" w:hAnsi="Times New Roman" w:cs="Times New Roman"/>
            <w:color w:val="0000FF"/>
            <w:sz w:val="20"/>
            <w:szCs w:val="20"/>
            <w:u w:val="single"/>
          </w:rPr>
          <w:t>§ 1325(b)(1)(B)</w:t>
        </w:r>
      </w:hyperlink>
      <w:r>
        <w:rPr>
          <w:rFonts w:ascii="Times New Roman" w:hAnsi="Times New Roman" w:cs="Times New Roman"/>
          <w:color w:val="000000"/>
          <w:sz w:val="20"/>
          <w:szCs w:val="20"/>
        </w:rPr>
        <w:t xml:space="preserve">. The Court says this requirement makes no sense unless the debtor is actually able to pay an amount equal to his projected disposable income. </w:t>
      </w:r>
      <w:r>
        <w:rPr>
          <w:rFonts w:ascii="Times New Roman" w:hAnsi="Times New Roman" w:cs="Times New Roman"/>
          <w:i/>
          <w:iCs/>
          <w:color w:val="000000"/>
          <w:sz w:val="20"/>
          <w:szCs w:val="20"/>
        </w:rPr>
        <w:t>Ante,</w:t>
      </w:r>
      <w:r>
        <w:rPr>
          <w:rFonts w:ascii="Times New Roman" w:hAnsi="Times New Roman" w:cs="Times New Roman"/>
          <w:color w:val="000000"/>
          <w:sz w:val="20"/>
          <w:szCs w:val="20"/>
        </w:rPr>
        <w:t xml:space="preserve"> at ----. But it makes no sense only if one assumes that the d</w:t>
      </w:r>
      <w:r>
        <w:rPr>
          <w:rFonts w:ascii="Times New Roman" w:hAnsi="Times New Roman" w:cs="Times New Roman"/>
          <w:color w:val="000000"/>
          <w:sz w:val="20"/>
          <w:szCs w:val="20"/>
        </w:rPr>
        <w:t xml:space="preserve">ebtor is entitled to confirmation in the first place; and that assumption is wrong. The requirement that the debtor pay at least his projected disposable income is a </w:t>
      </w:r>
      <w:r>
        <w:rPr>
          <w:rFonts w:ascii="Times New Roman" w:hAnsi="Times New Roman" w:cs="Times New Roman"/>
          <w:i/>
          <w:iCs/>
          <w:color w:val="000000"/>
          <w:sz w:val="20"/>
          <w:szCs w:val="20"/>
        </w:rPr>
        <w:t>prerequisite</w:t>
      </w:r>
      <w:r>
        <w:rPr>
          <w:rFonts w:ascii="Times New Roman" w:hAnsi="Times New Roman" w:cs="Times New Roman"/>
          <w:color w:val="000000"/>
          <w:sz w:val="20"/>
          <w:szCs w:val="20"/>
        </w:rPr>
        <w:t xml:space="preserve"> to confirmation. The </w:t>
      </w:r>
      <w:r>
        <w:rPr>
          <w:rFonts w:ascii="Times New Roman" w:hAnsi="Times New Roman" w:cs="Times New Roman"/>
          <w:color w:val="000000"/>
          <w:sz w:val="20"/>
          <w:szCs w:val="20"/>
        </w:rPr>
        <w:t>“</w:t>
      </w:r>
      <w:r>
        <w:rPr>
          <w:rFonts w:ascii="Times New Roman" w:hAnsi="Times New Roman" w:cs="Times New Roman"/>
          <w:color w:val="000000"/>
          <w:sz w:val="20"/>
          <w:szCs w:val="20"/>
        </w:rPr>
        <w:t>will be applied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proviso does not require a debtor to p</w:t>
      </w:r>
      <w:r>
        <w:rPr>
          <w:rFonts w:ascii="Times New Roman" w:hAnsi="Times New Roman" w:cs="Times New Roman"/>
          <w:color w:val="000000"/>
          <w:sz w:val="20"/>
          <w:szCs w:val="20"/>
        </w:rPr>
        <w:t>ay what he cannot; it simply withholds Chapter 13 relief when he cannot pay.</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lastRenderedPageBreak/>
        <w:t xml:space="preserve">The Court also argues that </w:t>
      </w:r>
      <w:hyperlink r:id="rId364" w:history="1">
        <w:r>
          <w:rPr>
            <w:rFonts w:ascii="Times New Roman" w:hAnsi="Times New Roman" w:cs="Times New Roman"/>
            <w:color w:val="0000FF"/>
            <w:sz w:val="20"/>
            <w:szCs w:val="20"/>
            <w:u w:val="single"/>
          </w:rPr>
          <w:t>§ 1325(b)(1)</w:t>
        </w:r>
      </w:hyperlink>
      <w:r>
        <w:rPr>
          <w:rFonts w:ascii="Times New Roman" w:hAnsi="Times New Roman" w:cs="Times New Roman"/>
          <w:color w:val="000000"/>
          <w:sz w:val="20"/>
          <w:szCs w:val="20"/>
        </w:rPr>
        <w:t xml:space="preserve">'s directive to determine projected disposable income </w:t>
      </w:r>
      <w:r>
        <w:rPr>
          <w:rFonts w:ascii="Times New Roman" w:hAnsi="Times New Roman" w:cs="Times New Roman"/>
          <w:color w:val="000000"/>
          <w:sz w:val="20"/>
          <w:szCs w:val="20"/>
        </w:rPr>
        <w:t>“</w:t>
      </w:r>
      <w:r>
        <w:rPr>
          <w:rFonts w:ascii="Times New Roman" w:hAnsi="Times New Roman" w:cs="Times New Roman"/>
          <w:color w:val="000000"/>
          <w:sz w:val="20"/>
          <w:szCs w:val="20"/>
        </w:rPr>
        <w:t>as of the effectiv</w:t>
      </w:r>
      <w:r>
        <w:rPr>
          <w:rFonts w:ascii="Times New Roman" w:hAnsi="Times New Roman" w:cs="Times New Roman"/>
          <w:color w:val="000000"/>
          <w:sz w:val="20"/>
          <w:szCs w:val="20"/>
        </w:rPr>
        <w:t>e date of the plan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makes no sense if mere multiplication of existing numbers is required. </w:t>
      </w:r>
      <w:r>
        <w:rPr>
          <w:rFonts w:ascii="Times New Roman" w:hAnsi="Times New Roman" w:cs="Times New Roman"/>
          <w:i/>
          <w:iCs/>
          <w:color w:val="000000"/>
          <w:sz w:val="20"/>
          <w:szCs w:val="20"/>
        </w:rPr>
        <w:t>Ante,</w:t>
      </w:r>
      <w:r>
        <w:rPr>
          <w:rFonts w:ascii="Times New Roman" w:hAnsi="Times New Roman" w:cs="Times New Roman"/>
          <w:color w:val="000000"/>
          <w:sz w:val="20"/>
          <w:szCs w:val="20"/>
        </w:rPr>
        <w:t xml:space="preserve"> at ---- - ----. As I have explained, however, </w:t>
      </w:r>
      <w:r>
        <w:rPr>
          <w:rFonts w:ascii="Times New Roman" w:hAnsi="Times New Roman" w:cs="Times New Roman"/>
          <w:color w:val="000000"/>
          <w:sz w:val="20"/>
          <w:szCs w:val="20"/>
        </w:rPr>
        <w:t>“</w:t>
      </w:r>
      <w:r>
        <w:rPr>
          <w:rFonts w:ascii="Times New Roman" w:hAnsi="Times New Roman" w:cs="Times New Roman"/>
          <w:color w:val="000000"/>
          <w:sz w:val="20"/>
          <w:szCs w:val="20"/>
        </w:rPr>
        <w:t>projected 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may in some cases require more than multiplication (as to expenses), and the estim</w:t>
      </w:r>
      <w:r>
        <w:rPr>
          <w:rFonts w:ascii="Times New Roman" w:hAnsi="Times New Roman" w:cs="Times New Roman"/>
          <w:color w:val="000000"/>
          <w:sz w:val="20"/>
          <w:szCs w:val="20"/>
        </w:rPr>
        <w:t>a</w:t>
      </w:r>
      <w:r>
        <w:rPr>
          <w:rFonts w:ascii="Times New Roman" w:hAnsi="Times New Roman" w:cs="Times New Roman"/>
          <w:color w:val="000000"/>
          <w:sz w:val="20"/>
          <w:szCs w:val="20"/>
        </w:rPr>
        <w:t>tions involved may vary from the date of the plan's filing until the date it takes effect. Moreover, the pr</w:t>
      </w:r>
      <w:r>
        <w:rPr>
          <w:rFonts w:ascii="Times New Roman" w:hAnsi="Times New Roman" w:cs="Times New Roman"/>
          <w:color w:val="000000"/>
          <w:sz w:val="20"/>
          <w:szCs w:val="20"/>
        </w:rPr>
        <w:t>o</w:t>
      </w:r>
      <w:r>
        <w:rPr>
          <w:rFonts w:ascii="Times New Roman" w:hAnsi="Times New Roman" w:cs="Times New Roman"/>
          <w:color w:val="000000"/>
          <w:sz w:val="20"/>
          <w:szCs w:val="20"/>
        </w:rPr>
        <w:t>vision also applies to the alternative avenue to co</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firmation in </w:t>
      </w:r>
      <w:hyperlink r:id="rId365" w:history="1">
        <w:r>
          <w:rPr>
            <w:rFonts w:ascii="Times New Roman" w:hAnsi="Times New Roman" w:cs="Times New Roman"/>
            <w:color w:val="0000FF"/>
            <w:sz w:val="20"/>
            <w:szCs w:val="20"/>
            <w:u w:val="single"/>
          </w:rPr>
          <w:t>§ 1325(b)(1)(A)</w:t>
        </w:r>
      </w:hyperlink>
      <w:r>
        <w:rPr>
          <w:rFonts w:ascii="Times New Roman" w:hAnsi="Times New Roman" w:cs="Times New Roman"/>
          <w:color w:val="000000"/>
          <w:sz w:val="20"/>
          <w:szCs w:val="20"/>
        </w:rPr>
        <w:t xml:space="preserve">, which requires that </w:t>
      </w:r>
      <w:r>
        <w:rPr>
          <w:rFonts w:ascii="Times New Roman" w:hAnsi="Times New Roman" w:cs="Times New Roman"/>
          <w:color w:val="000000"/>
          <w:sz w:val="20"/>
          <w:szCs w:val="20"/>
        </w:rPr>
        <w:t>“</w:t>
      </w:r>
      <w:r>
        <w:rPr>
          <w:rFonts w:ascii="Times New Roman" w:hAnsi="Times New Roman" w:cs="Times New Roman"/>
          <w:color w:val="000000"/>
          <w:sz w:val="20"/>
          <w:szCs w:val="20"/>
        </w:rPr>
        <w:t>the value of the property to be distributed under the plan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to an unsecured creditor equals or exceeds the cred</w:t>
      </w:r>
      <w:r>
        <w:rPr>
          <w:rFonts w:ascii="Times New Roman" w:hAnsi="Times New Roman" w:cs="Times New Roman"/>
          <w:color w:val="000000"/>
          <w:sz w:val="20"/>
          <w:szCs w:val="20"/>
        </w:rPr>
        <w:t>i</w:t>
      </w:r>
      <w:r>
        <w:rPr>
          <w:rFonts w:ascii="Times New Roman" w:hAnsi="Times New Roman" w:cs="Times New Roman"/>
          <w:color w:val="000000"/>
          <w:sz w:val="20"/>
          <w:szCs w:val="20"/>
        </w:rPr>
        <w:t>tor's claim. As to</w:t>
      </w:r>
      <w:r>
        <w:rPr>
          <w:rFonts w:ascii="Times New Roman" w:hAnsi="Times New Roman" w:cs="Times New Roman"/>
          <w:color w:val="000000"/>
          <w:sz w:val="20"/>
          <w:szCs w:val="20"/>
        </w:rPr>
        <w:t xml:space="preserve"> that requirement, the effe</w:t>
      </w:r>
      <w:r>
        <w:rPr>
          <w:rFonts w:ascii="Times New Roman" w:hAnsi="Times New Roman" w:cs="Times New Roman"/>
          <w:color w:val="000000"/>
          <w:sz w:val="20"/>
          <w:szCs w:val="20"/>
        </w:rPr>
        <w:t>c</w:t>
      </w:r>
      <w:r>
        <w:rPr>
          <w:rFonts w:ascii="Times New Roman" w:hAnsi="Times New Roman" w:cs="Times New Roman"/>
          <w:color w:val="000000"/>
          <w:sz w:val="20"/>
          <w:szCs w:val="20"/>
        </w:rPr>
        <w:t>tive-date requirement makes perfect sense.</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*16</w:t>
      </w:r>
      <w:r>
        <w:rPr>
          <w:rFonts w:ascii="Times New Roman" w:hAnsi="Times New Roman" w:cs="Times New Roman"/>
          <w:color w:val="000000"/>
          <w:sz w:val="20"/>
          <w:szCs w:val="20"/>
        </w:rPr>
        <w:t xml:space="preserve"> Text aside, the Court also observes that Circuit practice prior to the Bankruptcy Abuse Prevention and Consumer Protection Act of 2005 (BAPCPA), 119 Stat. 23, aligns with the atext</w:t>
      </w:r>
      <w:r>
        <w:rPr>
          <w:rFonts w:ascii="Times New Roman" w:hAnsi="Times New Roman" w:cs="Times New Roman"/>
          <w:color w:val="000000"/>
          <w:sz w:val="20"/>
          <w:szCs w:val="20"/>
        </w:rPr>
        <w:t xml:space="preserve">ual approach the Court adopts today. </w:t>
      </w:r>
      <w:r>
        <w:rPr>
          <w:rFonts w:ascii="Times New Roman" w:hAnsi="Times New Roman" w:cs="Times New Roman"/>
          <w:i/>
          <w:iCs/>
          <w:color w:val="000000"/>
          <w:sz w:val="20"/>
          <w:szCs w:val="20"/>
        </w:rPr>
        <w:t>Ante,</w:t>
      </w:r>
      <w:r>
        <w:rPr>
          <w:rFonts w:ascii="Times New Roman" w:hAnsi="Times New Roman" w:cs="Times New Roman"/>
          <w:color w:val="000000"/>
          <w:sz w:val="20"/>
          <w:szCs w:val="20"/>
        </w:rPr>
        <w:t xml:space="preserve"> at ---- - ----. That is unsurprising, since the prior version of the relevant provisions was completely consistent with that approach. The Court is correct that BAPCPA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did not amend the term </w:t>
      </w:r>
      <w:r>
        <w:rPr>
          <w:rFonts w:ascii="Times New Roman" w:hAnsi="Times New Roman" w:cs="Times New Roman"/>
          <w:color w:val="000000"/>
          <w:sz w:val="20"/>
          <w:szCs w:val="20"/>
        </w:rPr>
        <w:t>‘</w:t>
      </w:r>
      <w:r>
        <w:rPr>
          <w:rFonts w:ascii="Times New Roman" w:hAnsi="Times New Roman" w:cs="Times New Roman"/>
          <w:color w:val="000000"/>
          <w:sz w:val="20"/>
          <w:szCs w:val="20"/>
        </w:rPr>
        <w:t>pr</w:t>
      </w:r>
      <w:r>
        <w:rPr>
          <w:rFonts w:ascii="Times New Roman" w:hAnsi="Times New Roman" w:cs="Times New Roman"/>
          <w:color w:val="000000"/>
          <w:sz w:val="20"/>
          <w:szCs w:val="20"/>
        </w:rPr>
        <w:t>o</w:t>
      </w:r>
      <w:r>
        <w:rPr>
          <w:rFonts w:ascii="Times New Roman" w:hAnsi="Times New Roman" w:cs="Times New Roman"/>
          <w:color w:val="000000"/>
          <w:sz w:val="20"/>
          <w:szCs w:val="20"/>
        </w:rPr>
        <w:t>jected disposable</w:t>
      </w:r>
      <w:r>
        <w:rPr>
          <w:rFonts w:ascii="Times New Roman" w:hAnsi="Times New Roman" w:cs="Times New Roman"/>
          <w:color w:val="000000"/>
          <w:sz w:val="20"/>
          <w:szCs w:val="20"/>
        </w:rPr>
        <w:t xml:space="preserv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i/>
          <w:iCs/>
          <w:color w:val="000000"/>
          <w:sz w:val="20"/>
          <w:szCs w:val="20"/>
        </w:rPr>
        <w:t>ante,</w:t>
      </w:r>
      <w:r>
        <w:rPr>
          <w:rFonts w:ascii="Times New Roman" w:hAnsi="Times New Roman" w:cs="Times New Roman"/>
          <w:color w:val="000000"/>
          <w:sz w:val="20"/>
          <w:szCs w:val="20"/>
        </w:rPr>
        <w:t xml:space="preserve"> at ----. But it </w:t>
      </w:r>
      <w:r>
        <w:rPr>
          <w:rFonts w:ascii="Times New Roman" w:hAnsi="Times New Roman" w:cs="Times New Roman"/>
          <w:i/>
          <w:iCs/>
          <w:color w:val="000000"/>
          <w:sz w:val="20"/>
          <w:szCs w:val="20"/>
        </w:rPr>
        <w:t>did</w:t>
      </w:r>
      <w:r>
        <w:rPr>
          <w:rFonts w:ascii="Times New Roman" w:hAnsi="Times New Roman" w:cs="Times New Roman"/>
          <w:color w:val="000000"/>
          <w:sz w:val="20"/>
          <w:szCs w:val="20"/>
        </w:rPr>
        <w:t xml:space="preserve"> amend the </w:t>
      </w:r>
      <w:r>
        <w:rPr>
          <w:rFonts w:ascii="Times New Roman" w:hAnsi="Times New Roman" w:cs="Times New Roman"/>
          <w:i/>
          <w:iCs/>
          <w:color w:val="000000"/>
          <w:sz w:val="20"/>
          <w:szCs w:val="20"/>
        </w:rPr>
        <w:t>definition</w:t>
      </w:r>
      <w:r>
        <w:rPr>
          <w:rFonts w:ascii="Times New Roman" w:hAnsi="Times New Roman" w:cs="Times New Roman"/>
          <w:color w:val="000000"/>
          <w:sz w:val="20"/>
          <w:szCs w:val="20"/>
        </w:rPr>
        <w:t xml:space="preserve"> of that term. Before 2005, </w:t>
      </w:r>
      <w:hyperlink r:id="rId366" w:history="1">
        <w:r>
          <w:rPr>
            <w:rFonts w:ascii="Times New Roman" w:hAnsi="Times New Roman" w:cs="Times New Roman"/>
            <w:color w:val="0000FF"/>
            <w:sz w:val="20"/>
            <w:szCs w:val="20"/>
            <w:u w:val="single"/>
          </w:rPr>
          <w:t xml:space="preserve">§ </w:t>
        </w:r>
        <w:r>
          <w:rPr>
            <w:rFonts w:ascii="Times New Roman" w:hAnsi="Times New Roman" w:cs="Times New Roman"/>
            <w:color w:val="0000FF"/>
            <w:sz w:val="20"/>
            <w:szCs w:val="20"/>
            <w:u w:val="single"/>
          </w:rPr>
          <w:t>1325(b)(2)</w:t>
        </w:r>
      </w:hyperlink>
      <w:r>
        <w:rPr>
          <w:rFonts w:ascii="Times New Roman" w:hAnsi="Times New Roman" w:cs="Times New Roman"/>
          <w:color w:val="000000"/>
          <w:sz w:val="20"/>
          <w:szCs w:val="20"/>
        </w:rPr>
        <w:t xml:space="preserve"> defined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simply as </w:t>
      </w:r>
      <w:r>
        <w:rPr>
          <w:rFonts w:ascii="Times New Roman" w:hAnsi="Times New Roman" w:cs="Times New Roman"/>
          <w:color w:val="000000"/>
          <w:sz w:val="20"/>
          <w:szCs w:val="20"/>
        </w:rPr>
        <w:t>“</w:t>
      </w:r>
      <w:r>
        <w:rPr>
          <w:rFonts w:ascii="Times New Roman" w:hAnsi="Times New Roman" w:cs="Times New Roman"/>
          <w:color w:val="000000"/>
          <w:sz w:val="20"/>
          <w:szCs w:val="20"/>
        </w:rPr>
        <w:t>income which is received by the debtor and which is not reasonably necessary to be expended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on the same basic types of expenses excluded by the current st</w:t>
      </w:r>
      <w:r>
        <w:rPr>
          <w:rFonts w:ascii="Times New Roman" w:hAnsi="Times New Roman" w:cs="Times New Roman"/>
          <w:color w:val="000000"/>
          <w:sz w:val="20"/>
          <w:szCs w:val="20"/>
        </w:rPr>
        <w:t>a</w:t>
      </w:r>
      <w:r>
        <w:rPr>
          <w:rFonts w:ascii="Times New Roman" w:hAnsi="Times New Roman" w:cs="Times New Roman"/>
          <w:color w:val="000000"/>
          <w:sz w:val="20"/>
          <w:szCs w:val="20"/>
        </w:rPr>
        <w:t xml:space="preserve">tute. </w:t>
      </w:r>
      <w:hyperlink r:id="rId367" w:history="1">
        <w:r>
          <w:rPr>
            <w:rFonts w:ascii="Times New Roman" w:hAnsi="Times New Roman" w:cs="Times New Roman"/>
            <w:color w:val="0000FF"/>
            <w:sz w:val="20"/>
            <w:szCs w:val="20"/>
            <w:u w:val="single"/>
          </w:rPr>
          <w:t>§ 1325(b)(2)</w:t>
        </w:r>
      </w:hyperlink>
      <w:r>
        <w:rPr>
          <w:rFonts w:ascii="Times New Roman" w:hAnsi="Times New Roman" w:cs="Times New Roman"/>
          <w:color w:val="000000"/>
          <w:sz w:val="20"/>
          <w:szCs w:val="20"/>
        </w:rPr>
        <w:t xml:space="preserve"> (2000 ed.). Nothing in that terse definition compelled a court to rely exclusively on past data, let alone a spec</w:t>
      </w:r>
      <w:r>
        <w:rPr>
          <w:rFonts w:ascii="Times New Roman" w:hAnsi="Times New Roman" w:cs="Times New Roman"/>
          <w:color w:val="000000"/>
          <w:sz w:val="20"/>
          <w:szCs w:val="20"/>
        </w:rPr>
        <w:t xml:space="preserve">ific 6-month period. But in BAPCPA-the same Act in which Congress defined </w:t>
      </w:r>
      <w:r>
        <w:rPr>
          <w:rFonts w:ascii="Times New Roman" w:hAnsi="Times New Roman" w:cs="Times New Roman"/>
          <w:color w:val="000000"/>
          <w:sz w:val="20"/>
          <w:szCs w:val="20"/>
        </w:rPr>
        <w:t>“</w:t>
      </w:r>
      <w:r>
        <w:rPr>
          <w:rFonts w:ascii="Times New Roman" w:hAnsi="Times New Roman" w:cs="Times New Roman"/>
          <w:color w:val="000000"/>
          <w:sz w:val="20"/>
          <w:szCs w:val="20"/>
        </w:rPr>
        <w:t>current monthly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w:t>
      </w:r>
      <w:hyperlink r:id="rId368" w:history="1">
        <w:r>
          <w:rPr>
            <w:rFonts w:ascii="Times New Roman" w:hAnsi="Times New Roman" w:cs="Times New Roman"/>
            <w:color w:val="0000FF"/>
            <w:sz w:val="20"/>
            <w:szCs w:val="20"/>
            <w:u w:val="single"/>
          </w:rPr>
          <w:t>§ 101(10A)(A)</w:t>
        </w:r>
      </w:hyperlink>
      <w:r>
        <w:rPr>
          <w:rFonts w:ascii="Times New Roman" w:hAnsi="Times New Roman" w:cs="Times New Roman"/>
          <w:color w:val="000000"/>
          <w:sz w:val="20"/>
          <w:szCs w:val="20"/>
        </w:rPr>
        <w:t xml:space="preserve">-Congress redefined </w:t>
      </w:r>
      <w:r>
        <w:rPr>
          <w:rFonts w:ascii="Times New Roman" w:hAnsi="Times New Roman" w:cs="Times New Roman"/>
          <w:color w:val="000000"/>
          <w:sz w:val="20"/>
          <w:szCs w:val="20"/>
        </w:rPr>
        <w:t>“</w:t>
      </w:r>
      <w:r>
        <w:rPr>
          <w:rFonts w:ascii="Times New Roman" w:hAnsi="Times New Roman" w:cs="Times New Roman"/>
          <w:color w:val="000000"/>
          <w:sz w:val="20"/>
          <w:szCs w:val="20"/>
        </w:rPr>
        <w:t>di</w:t>
      </w:r>
      <w:r>
        <w:rPr>
          <w:rFonts w:ascii="Times New Roman" w:hAnsi="Times New Roman" w:cs="Times New Roman"/>
          <w:color w:val="000000"/>
          <w:sz w:val="20"/>
          <w:szCs w:val="20"/>
        </w:rPr>
        <w:t>s</w:t>
      </w:r>
      <w:r>
        <w:rPr>
          <w:rFonts w:ascii="Times New Roman" w:hAnsi="Times New Roman" w:cs="Times New Roman"/>
          <w:color w:val="000000"/>
          <w:sz w:val="20"/>
          <w:szCs w:val="20"/>
        </w:rPr>
        <w:t>posable i</w:t>
      </w:r>
      <w:r>
        <w:rPr>
          <w:rFonts w:ascii="Times New Roman" w:hAnsi="Times New Roman" w:cs="Times New Roman"/>
          <w:color w:val="000000"/>
          <w:sz w:val="20"/>
          <w:szCs w:val="20"/>
        </w:rPr>
        <w:t>n</w:t>
      </w:r>
      <w:r>
        <w:rPr>
          <w:rFonts w:ascii="Times New Roman" w:hAnsi="Times New Roman" w:cs="Times New Roman"/>
          <w:color w:val="000000"/>
          <w:sz w:val="20"/>
          <w:szCs w:val="20"/>
        </w:rPr>
        <w:t>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in </w:t>
      </w:r>
      <w:hyperlink r:id="rId369" w:history="1">
        <w:r>
          <w:rPr>
            <w:rFonts w:ascii="Times New Roman" w:hAnsi="Times New Roman" w:cs="Times New Roman"/>
            <w:color w:val="0000FF"/>
            <w:sz w:val="20"/>
            <w:szCs w:val="20"/>
            <w:u w:val="single"/>
          </w:rPr>
          <w:t>§ 1325(b)(2)</w:t>
        </w:r>
      </w:hyperlink>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to incorporate that bac</w:t>
      </w:r>
      <w:r>
        <w:rPr>
          <w:rFonts w:ascii="Times New Roman" w:hAnsi="Times New Roman" w:cs="Times New Roman"/>
          <w:color w:val="000000"/>
          <w:sz w:val="20"/>
          <w:szCs w:val="20"/>
        </w:rPr>
        <w:t>k</w:t>
      </w:r>
      <w:r>
        <w:rPr>
          <w:rFonts w:ascii="Times New Roman" w:hAnsi="Times New Roman" w:cs="Times New Roman"/>
          <w:color w:val="000000"/>
          <w:sz w:val="20"/>
          <w:szCs w:val="20"/>
        </w:rPr>
        <w:t xml:space="preserve">ward-looking definition. See </w:t>
      </w:r>
      <w:hyperlink r:id="rId370" w:history="1">
        <w:r>
          <w:rPr>
            <w:rFonts w:ascii="Times New Roman" w:hAnsi="Times New Roman" w:cs="Times New Roman"/>
            <w:color w:val="0000FF"/>
            <w:sz w:val="20"/>
            <w:szCs w:val="20"/>
            <w:u w:val="single"/>
          </w:rPr>
          <w:t>Pub.L. 109-8</w:t>
        </w:r>
      </w:hyperlink>
      <w:r>
        <w:rPr>
          <w:rFonts w:ascii="Times New Roman" w:hAnsi="Times New Roman" w:cs="Times New Roman"/>
          <w:color w:val="000000"/>
          <w:sz w:val="20"/>
          <w:szCs w:val="20"/>
        </w:rPr>
        <w:t xml:space="preserve">, § 102(b), (h), 119 Stat. 32-34. Given these significant changes, the fact that the Court's approach conforms with pre-BAPCPA practice not only does not recommend it, see </w:t>
      </w:r>
      <w:r>
        <w:rPr>
          <w:rFonts w:ascii="Times New Roman" w:hAnsi="Times New Roman" w:cs="Times New Roman"/>
          <w:i/>
          <w:iCs/>
          <w:color w:val="000000"/>
          <w:sz w:val="20"/>
          <w:szCs w:val="20"/>
        </w:rPr>
        <w:t>e.g.,</w:t>
      </w:r>
      <w:r>
        <w:rPr>
          <w:rFonts w:ascii="Times New Roman" w:hAnsi="Times New Roman" w:cs="Times New Roman"/>
          <w:color w:val="000000"/>
          <w:sz w:val="20"/>
          <w:szCs w:val="20"/>
        </w:rPr>
        <w:t xml:space="preserve"> </w:t>
      </w:r>
      <w:hyperlink r:id="rId371" w:history="1">
        <w:r>
          <w:rPr>
            <w:rFonts w:ascii="Times New Roman" w:hAnsi="Times New Roman" w:cs="Times New Roman"/>
            <w:i/>
            <w:iCs/>
            <w:color w:val="0000FF"/>
            <w:sz w:val="20"/>
            <w:szCs w:val="20"/>
            <w:u w:val="single"/>
          </w:rPr>
          <w:t>Pennsylvania Dept. of Public Welfare v. Davenport,</w:t>
        </w:r>
      </w:hyperlink>
      <w:hyperlink r:id="rId372" w:history="1">
        <w:r>
          <w:rPr>
            <w:rFonts w:ascii="Times New Roman" w:hAnsi="Times New Roman" w:cs="Times New Roman"/>
            <w:color w:val="0000FF"/>
            <w:sz w:val="20"/>
            <w:szCs w:val="20"/>
            <w:u w:val="single"/>
          </w:rPr>
          <w:t xml:space="preserve"> 495 U.S. 552, 563-564, 110 S.Ct. 2126, 109 L.Ed.2d 588 (1990)</w:t>
        </w:r>
      </w:hyperlink>
      <w:r>
        <w:rPr>
          <w:rFonts w:ascii="Times New Roman" w:hAnsi="Times New Roman" w:cs="Times New Roman"/>
          <w:color w:val="000000"/>
          <w:sz w:val="20"/>
          <w:szCs w:val="20"/>
        </w:rPr>
        <w:t>, bu</w:t>
      </w:r>
      <w:r>
        <w:rPr>
          <w:rFonts w:ascii="Times New Roman" w:hAnsi="Times New Roman" w:cs="Times New Roman"/>
          <w:color w:val="000000"/>
          <w:sz w:val="20"/>
          <w:szCs w:val="20"/>
        </w:rPr>
        <w:t>t renders it suspect.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II</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Unable to assemble a compelling case based on what the statute says, the Court falls back on the </w:t>
      </w:r>
      <w:r>
        <w:rPr>
          <w:rFonts w:ascii="Times New Roman" w:hAnsi="Times New Roman" w:cs="Times New Roman"/>
          <w:color w:val="000000"/>
          <w:sz w:val="20"/>
          <w:szCs w:val="20"/>
        </w:rPr>
        <w:t>“</w:t>
      </w:r>
      <w:r>
        <w:rPr>
          <w:rFonts w:ascii="Times New Roman" w:hAnsi="Times New Roman" w:cs="Times New Roman"/>
          <w:color w:val="000000"/>
          <w:sz w:val="20"/>
          <w:szCs w:val="20"/>
        </w:rPr>
        <w:t>senseless results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it would produce-results the Court </w:t>
      </w:r>
      <w:r>
        <w:rPr>
          <w:rFonts w:ascii="Times New Roman" w:hAnsi="Times New Roman" w:cs="Times New Roman"/>
          <w:color w:val="000000"/>
          <w:sz w:val="20"/>
          <w:szCs w:val="20"/>
        </w:rPr>
        <w:t>“</w:t>
      </w:r>
      <w:r>
        <w:rPr>
          <w:rFonts w:ascii="Times New Roman" w:hAnsi="Times New Roman" w:cs="Times New Roman"/>
          <w:color w:val="000000"/>
          <w:sz w:val="20"/>
          <w:szCs w:val="20"/>
        </w:rPr>
        <w:t>do [es] not think Congress intended.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i/>
          <w:iCs/>
          <w:color w:val="000000"/>
          <w:sz w:val="20"/>
          <w:szCs w:val="20"/>
        </w:rPr>
        <w:t>Ante,</w:t>
      </w:r>
      <w:r>
        <w:rPr>
          <w:rFonts w:ascii="Times New Roman" w:hAnsi="Times New Roman" w:cs="Times New Roman"/>
          <w:color w:val="000000"/>
          <w:sz w:val="20"/>
          <w:szCs w:val="20"/>
        </w:rPr>
        <w:t xml:space="preserve"> at ----. Even if it were </w:t>
      </w:r>
      <w:r>
        <w:rPr>
          <w:rFonts w:ascii="Times New Roman" w:hAnsi="Times New Roman" w:cs="Times New Roman"/>
          <w:color w:val="000000"/>
          <w:sz w:val="20"/>
          <w:szCs w:val="20"/>
        </w:rPr>
        <w:lastRenderedPageBreak/>
        <w:t>true th</w:t>
      </w:r>
      <w:r>
        <w:rPr>
          <w:rFonts w:ascii="Times New Roman" w:hAnsi="Times New Roman" w:cs="Times New Roman"/>
          <w:color w:val="000000"/>
          <w:sz w:val="20"/>
          <w:szCs w:val="20"/>
        </w:rPr>
        <w:t xml:space="preserve">at a </w:t>
      </w:r>
      <w:r>
        <w:rPr>
          <w:rFonts w:ascii="Times New Roman" w:hAnsi="Times New Roman" w:cs="Times New Roman"/>
          <w:color w:val="000000"/>
          <w:sz w:val="20"/>
          <w:szCs w:val="20"/>
        </w:rPr>
        <w:t>“</w:t>
      </w:r>
      <w:r>
        <w:rPr>
          <w:rFonts w:ascii="Times New Roman" w:hAnsi="Times New Roman" w:cs="Times New Roman"/>
          <w:color w:val="000000"/>
          <w:sz w:val="20"/>
          <w:szCs w:val="20"/>
        </w:rPr>
        <w:t>mechanical</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reading resulted in undesir</w:t>
      </w:r>
      <w:r>
        <w:rPr>
          <w:rFonts w:ascii="Times New Roman" w:hAnsi="Times New Roman" w:cs="Times New Roman"/>
          <w:color w:val="000000"/>
          <w:sz w:val="20"/>
          <w:szCs w:val="20"/>
        </w:rPr>
        <w:t>a</w:t>
      </w:r>
      <w:r>
        <w:rPr>
          <w:rFonts w:ascii="Times New Roman" w:hAnsi="Times New Roman" w:cs="Times New Roman"/>
          <w:color w:val="000000"/>
          <w:sz w:val="20"/>
          <w:szCs w:val="20"/>
        </w:rPr>
        <w:t xml:space="preserve">ble outcomes, that would make no difference. </w:t>
      </w:r>
      <w:hyperlink r:id="rId373" w:history="1">
        <w:r>
          <w:rPr>
            <w:rFonts w:ascii="Times New Roman" w:hAnsi="Times New Roman" w:cs="Times New Roman"/>
            <w:i/>
            <w:iCs/>
            <w:color w:val="0000FF"/>
            <w:sz w:val="20"/>
            <w:szCs w:val="20"/>
            <w:u w:val="single"/>
          </w:rPr>
          <w:t>Lewis v. Chicago,</w:t>
        </w:r>
      </w:hyperlink>
      <w:hyperlink r:id="rId374" w:history="1">
        <w:r>
          <w:rPr>
            <w:rFonts w:ascii="Times New Roman" w:hAnsi="Times New Roman" w:cs="Times New Roman"/>
            <w:color w:val="0000FF"/>
            <w:sz w:val="20"/>
            <w:szCs w:val="20"/>
            <w:u w:val="single"/>
          </w:rPr>
          <w:t xml:space="preserve"> 560 U.S. ----, ----, 130 S.Ct. 2191, ----, ---- L.Ed.2d ---- (2010) (slip op., at 11).</w:t>
        </w:r>
      </w:hyperlink>
      <w:r>
        <w:rPr>
          <w:rFonts w:ascii="Times New Roman" w:hAnsi="Times New Roman" w:cs="Times New Roman"/>
          <w:color w:val="000000"/>
          <w:sz w:val="20"/>
          <w:szCs w:val="20"/>
        </w:rPr>
        <w:t xml:space="preserve"> For even assu</w:t>
      </w:r>
      <w:r>
        <w:rPr>
          <w:rFonts w:ascii="Times New Roman" w:hAnsi="Times New Roman" w:cs="Times New Roman"/>
          <w:color w:val="000000"/>
          <w:sz w:val="20"/>
          <w:szCs w:val="20"/>
        </w:rPr>
        <w:t>m</w:t>
      </w:r>
      <w:r>
        <w:rPr>
          <w:rFonts w:ascii="Times New Roman" w:hAnsi="Times New Roman" w:cs="Times New Roman"/>
          <w:color w:val="000000"/>
          <w:sz w:val="20"/>
          <w:szCs w:val="20"/>
        </w:rPr>
        <w:t>ing (though I do not believe it) that we could know which results Congress thought i</w:t>
      </w:r>
      <w:r>
        <w:rPr>
          <w:rFonts w:ascii="Times New Roman" w:hAnsi="Times New Roman" w:cs="Times New Roman"/>
          <w:color w:val="000000"/>
          <w:sz w:val="20"/>
          <w:szCs w:val="20"/>
        </w:rPr>
        <w:t>t was achieving (or avoiding) apart from the only congressional expre</w:t>
      </w:r>
      <w:r>
        <w:rPr>
          <w:rFonts w:ascii="Times New Roman" w:hAnsi="Times New Roman" w:cs="Times New Roman"/>
          <w:color w:val="000000"/>
          <w:sz w:val="20"/>
          <w:szCs w:val="20"/>
        </w:rPr>
        <w:t>s</w:t>
      </w:r>
      <w:r>
        <w:rPr>
          <w:rFonts w:ascii="Times New Roman" w:hAnsi="Times New Roman" w:cs="Times New Roman"/>
          <w:color w:val="000000"/>
          <w:sz w:val="20"/>
          <w:szCs w:val="20"/>
        </w:rPr>
        <w:t>sion of its thoughts, the text, those results would be entirely irrelevant to what the statute means.</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In any event, the effects the Court fears are neither as inevitable nor as </w:t>
      </w:r>
      <w:r>
        <w:rPr>
          <w:rFonts w:ascii="Times New Roman" w:hAnsi="Times New Roman" w:cs="Times New Roman"/>
          <w:color w:val="000000"/>
          <w:sz w:val="20"/>
          <w:szCs w:val="20"/>
        </w:rPr>
        <w:t>“</w:t>
      </w:r>
      <w:r>
        <w:rPr>
          <w:rFonts w:ascii="Times New Roman" w:hAnsi="Times New Roman" w:cs="Times New Roman"/>
          <w:color w:val="000000"/>
          <w:sz w:val="20"/>
          <w:szCs w:val="20"/>
        </w:rPr>
        <w:t>sensele</w:t>
      </w:r>
      <w:r>
        <w:rPr>
          <w:rFonts w:ascii="Times New Roman" w:hAnsi="Times New Roman" w:cs="Times New Roman"/>
          <w:color w:val="000000"/>
          <w:sz w:val="20"/>
          <w:szCs w:val="20"/>
        </w:rPr>
        <w:t>ss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as the Court portrays. The Court's first concern is that if actual or anticipated changes in the debtor's earnings are ignored, then a debtor whose income increases after the critical 6-month window will not be required to pay all he can afford. </w:t>
      </w:r>
      <w:hyperlink r:id="rId375" w:history="1">
        <w:r>
          <w:rPr>
            <w:rFonts w:ascii="Times New Roman" w:hAnsi="Times New Roman" w:cs="Times New Roman"/>
            <w:i/>
            <w:iCs/>
            <w:color w:val="0000FF"/>
            <w:sz w:val="20"/>
            <w:szCs w:val="20"/>
            <w:u w:val="single"/>
          </w:rPr>
          <w:t>Ante,</w:t>
        </w:r>
      </w:hyperlink>
      <w:hyperlink r:id="rId376" w:history="1">
        <w:r>
          <w:rPr>
            <w:rFonts w:ascii="Times New Roman" w:hAnsi="Times New Roman" w:cs="Times New Roman"/>
            <w:color w:val="0000FF"/>
            <w:sz w:val="20"/>
            <w:szCs w:val="20"/>
            <w:u w:val="single"/>
          </w:rPr>
          <w:t xml:space="preserve"> at ----.</w:t>
        </w:r>
      </w:hyperlink>
      <w:r>
        <w:rPr>
          <w:rFonts w:ascii="Times New Roman" w:hAnsi="Times New Roman" w:cs="Times New Roman"/>
          <w:color w:val="000000"/>
          <w:sz w:val="20"/>
          <w:szCs w:val="20"/>
        </w:rPr>
        <w:t xml:space="preserve"> But as Lanning points out, Brief for Respon</w:t>
      </w:r>
      <w:r>
        <w:rPr>
          <w:rFonts w:ascii="Times New Roman" w:hAnsi="Times New Roman" w:cs="Times New Roman"/>
          <w:color w:val="000000"/>
          <w:sz w:val="20"/>
          <w:szCs w:val="20"/>
        </w:rPr>
        <w:t>dent 22-23, Chapter 13 authorizes the Bankruptcy Court, at the request of unsecured cred</w:t>
      </w:r>
      <w:r>
        <w:rPr>
          <w:rFonts w:ascii="Times New Roman" w:hAnsi="Times New Roman" w:cs="Times New Roman"/>
          <w:color w:val="000000"/>
          <w:sz w:val="20"/>
          <w:szCs w:val="20"/>
        </w:rPr>
        <w:t>i</w:t>
      </w:r>
      <w:r>
        <w:rPr>
          <w:rFonts w:ascii="Times New Roman" w:hAnsi="Times New Roman" w:cs="Times New Roman"/>
          <w:color w:val="000000"/>
          <w:sz w:val="20"/>
          <w:szCs w:val="20"/>
        </w:rPr>
        <w:t xml:space="preserve">tors, to modify the plan </w:t>
      </w:r>
      <w:r>
        <w:rPr>
          <w:rFonts w:ascii="Times New Roman" w:hAnsi="Times New Roman" w:cs="Times New Roman"/>
          <w:color w:val="000000"/>
          <w:sz w:val="20"/>
          <w:szCs w:val="20"/>
        </w:rPr>
        <w:t>“</w:t>
      </w:r>
      <w:r>
        <w:rPr>
          <w:rFonts w:ascii="Times New Roman" w:hAnsi="Times New Roman" w:cs="Times New Roman"/>
          <w:color w:val="000000"/>
          <w:sz w:val="20"/>
          <w:szCs w:val="20"/>
        </w:rPr>
        <w:t>[a]t any time after confirm</w:t>
      </w:r>
      <w:r>
        <w:rPr>
          <w:rFonts w:ascii="Times New Roman" w:hAnsi="Times New Roman" w:cs="Times New Roman"/>
          <w:color w:val="000000"/>
          <w:sz w:val="20"/>
          <w:szCs w:val="20"/>
        </w:rPr>
        <w:t>a</w:t>
      </w:r>
      <w:r>
        <w:rPr>
          <w:rFonts w:ascii="Times New Roman" w:hAnsi="Times New Roman" w:cs="Times New Roman"/>
          <w:color w:val="000000"/>
          <w:sz w:val="20"/>
          <w:szCs w:val="20"/>
        </w:rPr>
        <w:t>tion</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to </w:t>
      </w:r>
      <w:r>
        <w:rPr>
          <w:rFonts w:ascii="Times New Roman" w:hAnsi="Times New Roman" w:cs="Times New Roman"/>
          <w:color w:val="000000"/>
          <w:sz w:val="20"/>
          <w:szCs w:val="20"/>
        </w:rPr>
        <w:t>“</w:t>
      </w:r>
      <w:r>
        <w:rPr>
          <w:rFonts w:ascii="Times New Roman" w:hAnsi="Times New Roman" w:cs="Times New Roman"/>
          <w:color w:val="000000"/>
          <w:sz w:val="20"/>
          <w:szCs w:val="20"/>
        </w:rPr>
        <w:t>increase ... the amount of payments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on a class of claims or </w:t>
      </w:r>
      <w:r>
        <w:rPr>
          <w:rFonts w:ascii="Times New Roman" w:hAnsi="Times New Roman" w:cs="Times New Roman"/>
          <w:color w:val="000000"/>
          <w:sz w:val="20"/>
          <w:szCs w:val="20"/>
        </w:rPr>
        <w:t>“</w:t>
      </w:r>
      <w:r>
        <w:rPr>
          <w:rFonts w:ascii="Times New Roman" w:hAnsi="Times New Roman" w:cs="Times New Roman"/>
          <w:color w:val="000000"/>
          <w:sz w:val="20"/>
          <w:szCs w:val="20"/>
        </w:rPr>
        <w:t>reduce the time for such pa</w:t>
      </w:r>
      <w:r>
        <w:rPr>
          <w:rFonts w:ascii="Times New Roman" w:hAnsi="Times New Roman" w:cs="Times New Roman"/>
          <w:color w:val="000000"/>
          <w:sz w:val="20"/>
          <w:szCs w:val="20"/>
        </w:rPr>
        <w:t>y</w:t>
      </w:r>
      <w:r>
        <w:rPr>
          <w:rFonts w:ascii="Times New Roman" w:hAnsi="Times New Roman" w:cs="Times New Roman"/>
          <w:color w:val="000000"/>
          <w:sz w:val="20"/>
          <w:szCs w:val="20"/>
        </w:rPr>
        <w:t>ments.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 132</w:t>
      </w:r>
      <w:r>
        <w:rPr>
          <w:rFonts w:ascii="Times New Roman" w:hAnsi="Times New Roman" w:cs="Times New Roman"/>
          <w:color w:val="000000"/>
          <w:sz w:val="20"/>
          <w:szCs w:val="20"/>
        </w:rPr>
        <w:t>9(a)(1)-(2) (2006 ed.). The Court offers no explanation of why modification would not be available in such instances, and sufficient to resolve the concern.</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*17</w:t>
      </w:r>
      <w:r>
        <w:rPr>
          <w:rFonts w:ascii="Times New Roman" w:hAnsi="Times New Roman" w:cs="Times New Roman"/>
          <w:color w:val="000000"/>
          <w:sz w:val="20"/>
          <w:szCs w:val="20"/>
        </w:rPr>
        <w:t xml:space="preserve"> The Court also cringes at the prospect that a debtor whose income suddenly </w:t>
      </w:r>
      <w:r>
        <w:rPr>
          <w:rFonts w:ascii="Times New Roman" w:hAnsi="Times New Roman" w:cs="Times New Roman"/>
          <w:i/>
          <w:iCs/>
          <w:color w:val="000000"/>
          <w:sz w:val="20"/>
          <w:szCs w:val="20"/>
        </w:rPr>
        <w:t xml:space="preserve">declines </w:t>
      </w:r>
      <w:r>
        <w:rPr>
          <w:rFonts w:ascii="Times New Roman" w:hAnsi="Times New Roman" w:cs="Times New Roman"/>
          <w:color w:val="000000"/>
          <w:sz w:val="20"/>
          <w:szCs w:val="20"/>
        </w:rPr>
        <w:t xml:space="preserve">after the </w:t>
      </w:r>
      <w:r>
        <w:rPr>
          <w:rFonts w:ascii="Times New Roman" w:hAnsi="Times New Roman" w:cs="Times New Roman"/>
          <w:color w:val="000000"/>
          <w:sz w:val="20"/>
          <w:szCs w:val="20"/>
        </w:rPr>
        <w:t>6-month window or who, as in this case, rec</w:t>
      </w:r>
      <w:r>
        <w:rPr>
          <w:rFonts w:ascii="Times New Roman" w:hAnsi="Times New Roman" w:cs="Times New Roman"/>
          <w:color w:val="000000"/>
          <w:sz w:val="20"/>
          <w:szCs w:val="20"/>
        </w:rPr>
        <w:t>e</w:t>
      </w:r>
      <w:r>
        <w:rPr>
          <w:rFonts w:ascii="Times New Roman" w:hAnsi="Times New Roman" w:cs="Times New Roman"/>
          <w:color w:val="000000"/>
          <w:sz w:val="20"/>
          <w:szCs w:val="20"/>
        </w:rPr>
        <w:t xml:space="preserve">ives a one-off windfall during that window, will be barred from Chapter 13 relief because he will be unable to devote his </w:t>
      </w:r>
      <w:r>
        <w:rPr>
          <w:rFonts w:ascii="Times New Roman" w:hAnsi="Times New Roman" w:cs="Times New Roman"/>
          <w:color w:val="000000"/>
          <w:sz w:val="20"/>
          <w:szCs w:val="20"/>
        </w:rPr>
        <w:t>“</w:t>
      </w:r>
      <w:r>
        <w:rPr>
          <w:rFonts w:ascii="Times New Roman" w:hAnsi="Times New Roman" w:cs="Times New Roman"/>
          <w:color w:val="000000"/>
          <w:sz w:val="20"/>
          <w:szCs w:val="20"/>
        </w:rPr>
        <w:t>disposable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(which turns on his prior earnings) to paying his unsecured creditors </w:t>
      </w:r>
      <w:r>
        <w:rPr>
          <w:rFonts w:ascii="Times New Roman" w:hAnsi="Times New Roman" w:cs="Times New Roman"/>
          <w:color w:val="000000"/>
          <w:sz w:val="20"/>
          <w:szCs w:val="20"/>
        </w:rPr>
        <w:t xml:space="preserve">going forward. </w:t>
      </w:r>
      <w:hyperlink r:id="rId377" w:history="1">
        <w:r>
          <w:rPr>
            <w:rFonts w:ascii="Times New Roman" w:hAnsi="Times New Roman" w:cs="Times New Roman"/>
            <w:i/>
            <w:iCs/>
            <w:color w:val="0000FF"/>
            <w:sz w:val="20"/>
            <w:szCs w:val="20"/>
            <w:u w:val="single"/>
          </w:rPr>
          <w:t>Ante,</w:t>
        </w:r>
      </w:hyperlink>
      <w:hyperlink r:id="rId378" w:history="1">
        <w:r>
          <w:rPr>
            <w:rFonts w:ascii="Times New Roman" w:hAnsi="Times New Roman" w:cs="Times New Roman"/>
            <w:color w:val="0000FF"/>
            <w:sz w:val="20"/>
            <w:szCs w:val="20"/>
            <w:u w:val="single"/>
          </w:rPr>
          <w:t xml:space="preserve"> at ---- - ----.</w:t>
        </w:r>
      </w:hyperlink>
      <w:r>
        <w:rPr>
          <w:rFonts w:ascii="Times New Roman" w:hAnsi="Times New Roman" w:cs="Times New Roman"/>
          <w:color w:val="000000"/>
          <w:sz w:val="20"/>
          <w:szCs w:val="20"/>
        </w:rPr>
        <w:t xml:space="preserve"> At least for de</w:t>
      </w:r>
      <w:r>
        <w:rPr>
          <w:rFonts w:ascii="Times New Roman" w:hAnsi="Times New Roman" w:cs="Times New Roman"/>
          <w:color w:val="000000"/>
          <w:sz w:val="20"/>
          <w:szCs w:val="20"/>
        </w:rPr>
        <w:t xml:space="preserve">btors whose circumstances deteriorate </w:t>
      </w:r>
      <w:r>
        <w:rPr>
          <w:rFonts w:ascii="Times New Roman" w:hAnsi="Times New Roman" w:cs="Times New Roman"/>
          <w:i/>
          <w:iCs/>
          <w:color w:val="000000"/>
          <w:sz w:val="20"/>
          <w:szCs w:val="20"/>
        </w:rPr>
        <w:t>after</w:t>
      </w:r>
      <w:r>
        <w:rPr>
          <w:rFonts w:ascii="Times New Roman" w:hAnsi="Times New Roman" w:cs="Times New Roman"/>
          <w:color w:val="000000"/>
          <w:sz w:val="20"/>
          <w:szCs w:val="20"/>
        </w:rPr>
        <w:t xml:space="preserve"> confirmation, howe</w:t>
      </w:r>
      <w:r>
        <w:rPr>
          <w:rFonts w:ascii="Times New Roman" w:hAnsi="Times New Roman" w:cs="Times New Roman"/>
          <w:color w:val="000000"/>
          <w:sz w:val="20"/>
          <w:szCs w:val="20"/>
        </w:rPr>
        <w:t>v</w:t>
      </w:r>
      <w:r>
        <w:rPr>
          <w:rFonts w:ascii="Times New Roman" w:hAnsi="Times New Roman" w:cs="Times New Roman"/>
          <w:color w:val="000000"/>
          <w:sz w:val="20"/>
          <w:szCs w:val="20"/>
        </w:rPr>
        <w:t>er, the Code already provides an answer. Just as a creditor can request an upward modification in light of postconfirmation developments, so too can a debtor ask for a downward adjustment. § 13</w:t>
      </w:r>
      <w:r>
        <w:rPr>
          <w:rFonts w:ascii="Times New Roman" w:hAnsi="Times New Roman" w:cs="Times New Roman"/>
          <w:color w:val="000000"/>
          <w:sz w:val="20"/>
          <w:szCs w:val="20"/>
        </w:rPr>
        <w:t>29(a). Cf. § 1329(b)(1) (requiring that modifications meet r</w:t>
      </w:r>
      <w:r>
        <w:rPr>
          <w:rFonts w:ascii="Times New Roman" w:hAnsi="Times New Roman" w:cs="Times New Roman"/>
          <w:color w:val="000000"/>
          <w:sz w:val="20"/>
          <w:szCs w:val="20"/>
        </w:rPr>
        <w:t>e</w:t>
      </w:r>
      <w:r>
        <w:rPr>
          <w:rFonts w:ascii="Times New Roman" w:hAnsi="Times New Roman" w:cs="Times New Roman"/>
          <w:color w:val="000000"/>
          <w:sz w:val="20"/>
          <w:szCs w:val="20"/>
        </w:rPr>
        <w:t xml:space="preserve">quirements of </w:t>
      </w:r>
      <w:hyperlink r:id="rId379" w:history="1">
        <w:r>
          <w:rPr>
            <w:rFonts w:ascii="Times New Roman" w:hAnsi="Times New Roman" w:cs="Times New Roman"/>
            <w:color w:val="0000FF"/>
            <w:sz w:val="20"/>
            <w:szCs w:val="20"/>
            <w:u w:val="single"/>
          </w:rPr>
          <w:t>§§ 1322(a)-(b)</w:t>
        </w:r>
      </w:hyperlink>
      <w:r>
        <w:rPr>
          <w:rFonts w:ascii="Times New Roman" w:hAnsi="Times New Roman" w:cs="Times New Roman"/>
          <w:color w:val="000000"/>
          <w:sz w:val="20"/>
          <w:szCs w:val="20"/>
        </w:rPr>
        <w:t xml:space="preserve">, </w:t>
      </w:r>
      <w:hyperlink r:id="rId380" w:history="1">
        <w:r>
          <w:rPr>
            <w:rFonts w:ascii="Times New Roman" w:hAnsi="Times New Roman" w:cs="Times New Roman"/>
            <w:color w:val="0000FF"/>
            <w:sz w:val="20"/>
            <w:szCs w:val="20"/>
            <w:u w:val="single"/>
          </w:rPr>
          <w:t>1323(c)</w:t>
        </w:r>
      </w:hyperlink>
      <w:r>
        <w:rPr>
          <w:rFonts w:ascii="Times New Roman" w:hAnsi="Times New Roman" w:cs="Times New Roman"/>
          <w:color w:val="000000"/>
          <w:sz w:val="20"/>
          <w:szCs w:val="20"/>
        </w:rPr>
        <w:t xml:space="preserve">, and </w:t>
      </w:r>
      <w:hyperlink r:id="rId381" w:history="1">
        <w:r>
          <w:rPr>
            <w:rFonts w:ascii="Times New Roman" w:hAnsi="Times New Roman" w:cs="Times New Roman"/>
            <w:color w:val="0000FF"/>
            <w:sz w:val="20"/>
            <w:szCs w:val="20"/>
            <w:u w:val="single"/>
          </w:rPr>
          <w:t>1325(a)</w:t>
        </w:r>
      </w:hyperlink>
      <w:r>
        <w:rPr>
          <w:rFonts w:ascii="Times New Roman" w:hAnsi="Times New Roman" w:cs="Times New Roman"/>
          <w:color w:val="000000"/>
          <w:sz w:val="20"/>
          <w:szCs w:val="20"/>
        </w:rPr>
        <w:t xml:space="preserve">, but not </w:t>
      </w:r>
      <w:hyperlink r:id="rId382" w:history="1">
        <w:r>
          <w:rPr>
            <w:rFonts w:ascii="Times New Roman" w:hAnsi="Times New Roman" w:cs="Times New Roman"/>
            <w:color w:val="0000FF"/>
            <w:sz w:val="20"/>
            <w:szCs w:val="20"/>
            <w:u w:val="single"/>
          </w:rPr>
          <w:t>§ 1325(b)</w:t>
        </w:r>
      </w:hyperlink>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Moreover, even apart from the availability of mo</w:t>
      </w:r>
      <w:r>
        <w:rPr>
          <w:rFonts w:ascii="Times New Roman" w:hAnsi="Times New Roman" w:cs="Times New Roman"/>
          <w:color w:val="000000"/>
          <w:sz w:val="20"/>
          <w:szCs w:val="20"/>
        </w:rPr>
        <w:t>d</w:t>
      </w:r>
      <w:r>
        <w:rPr>
          <w:rFonts w:ascii="Times New Roman" w:hAnsi="Times New Roman" w:cs="Times New Roman"/>
          <w:color w:val="000000"/>
          <w:sz w:val="20"/>
          <w:szCs w:val="20"/>
        </w:rPr>
        <w:t>ification it requires lit</w:t>
      </w:r>
      <w:r>
        <w:rPr>
          <w:rFonts w:ascii="Times New Roman" w:hAnsi="Times New Roman" w:cs="Times New Roman"/>
          <w:color w:val="000000"/>
          <w:sz w:val="20"/>
          <w:szCs w:val="20"/>
        </w:rPr>
        <w:t>tle imagination to see why Congress might want to withhold relief from debtors whose situations have suddenly deteriorated (after or even toward the end of the 6-month window), or who in the midst of dire straits have been blessed (within the 6-month windo</w:t>
      </w:r>
      <w:r>
        <w:rPr>
          <w:rFonts w:ascii="Times New Roman" w:hAnsi="Times New Roman" w:cs="Times New Roman"/>
          <w:color w:val="000000"/>
          <w:sz w:val="20"/>
          <w:szCs w:val="20"/>
        </w:rPr>
        <w:t xml:space="preserve">w) by an influx of unusually high </w:t>
      </w:r>
      <w:r>
        <w:rPr>
          <w:rFonts w:ascii="Times New Roman" w:hAnsi="Times New Roman" w:cs="Times New Roman"/>
          <w:color w:val="000000"/>
          <w:sz w:val="20"/>
          <w:szCs w:val="20"/>
        </w:rPr>
        <w:lastRenderedPageBreak/>
        <w:t xml:space="preserve">income. Bankruptcy protection is not a birthright, and Congress could reasonably conclude that those who have just hit the skids do not yet need a reprieve from repaying their debts; perhaps they will recover. And perhaps </w:t>
      </w:r>
      <w:r>
        <w:rPr>
          <w:rFonts w:ascii="Times New Roman" w:hAnsi="Times New Roman" w:cs="Times New Roman"/>
          <w:color w:val="000000"/>
          <w:sz w:val="20"/>
          <w:szCs w:val="20"/>
        </w:rPr>
        <w:t>the debtor who has received a one-time bonus will thereby be enabled to stay afloat. How long to wait before throwing the debtor a lifeline is inherently a policy choice. Congress confined the calculation of current monthly income to a 6-month period (ordi</w:t>
      </w:r>
      <w:r>
        <w:rPr>
          <w:rFonts w:ascii="Times New Roman" w:hAnsi="Times New Roman" w:cs="Times New Roman"/>
          <w:color w:val="000000"/>
          <w:sz w:val="20"/>
          <w:szCs w:val="20"/>
        </w:rPr>
        <w:t>n</w:t>
      </w:r>
      <w:r>
        <w:rPr>
          <w:rFonts w:ascii="Times New Roman" w:hAnsi="Times New Roman" w:cs="Times New Roman"/>
          <w:color w:val="000000"/>
          <w:sz w:val="20"/>
          <w:szCs w:val="20"/>
        </w:rPr>
        <w:t>a</w:t>
      </w:r>
      <w:r>
        <w:rPr>
          <w:rFonts w:ascii="Times New Roman" w:hAnsi="Times New Roman" w:cs="Times New Roman"/>
          <w:color w:val="000000"/>
          <w:sz w:val="20"/>
          <w:szCs w:val="20"/>
        </w:rPr>
        <w:t>rily ending before the case is commenced), but it could have picked 2 or 12 months (or a different end date) instead. Whatever the wisdom of the window it chose, we should not assume it did not know what it was doing and accordingly refuse to give effect</w:t>
      </w:r>
      <w:r>
        <w:rPr>
          <w:rFonts w:ascii="Times New Roman" w:hAnsi="Times New Roman" w:cs="Times New Roman"/>
          <w:color w:val="000000"/>
          <w:sz w:val="20"/>
          <w:szCs w:val="20"/>
        </w:rPr>
        <w:t xml:space="preserve"> to its words.</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Even if one insists on making provision for such debtors, the Court is wrong to write off four altern</w:t>
      </w:r>
      <w:r>
        <w:rPr>
          <w:rFonts w:ascii="Times New Roman" w:hAnsi="Times New Roman" w:cs="Times New Roman"/>
          <w:color w:val="000000"/>
          <w:sz w:val="20"/>
          <w:szCs w:val="20"/>
        </w:rPr>
        <w:t>a</w:t>
      </w:r>
      <w:r>
        <w:rPr>
          <w:rFonts w:ascii="Times New Roman" w:hAnsi="Times New Roman" w:cs="Times New Roman"/>
          <w:color w:val="000000"/>
          <w:sz w:val="20"/>
          <w:szCs w:val="20"/>
        </w:rPr>
        <w:t>tive strategies the trustee suggests, Brief for Petitioner 50-54:</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 Presumably some debtors whose income has only recently been reduced, </w:t>
      </w:r>
      <w:r>
        <w:rPr>
          <w:rFonts w:ascii="Times New Roman" w:hAnsi="Times New Roman" w:cs="Times New Roman"/>
          <w:color w:val="000000"/>
          <w:sz w:val="20"/>
          <w:szCs w:val="20"/>
        </w:rPr>
        <w:t>or who have just received a jolt that causes a temporary uptick in their average i</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come, can delay filing a Chapter 13 petition until their </w:t>
      </w:r>
      <w:r>
        <w:rPr>
          <w:rFonts w:ascii="Times New Roman" w:hAnsi="Times New Roman" w:cs="Times New Roman"/>
          <w:color w:val="000000"/>
          <w:sz w:val="20"/>
          <w:szCs w:val="20"/>
        </w:rPr>
        <w:t>“</w:t>
      </w:r>
      <w:r>
        <w:rPr>
          <w:rFonts w:ascii="Times New Roman" w:hAnsi="Times New Roman" w:cs="Times New Roman"/>
          <w:color w:val="000000"/>
          <w:sz w:val="20"/>
          <w:szCs w:val="20"/>
        </w:rPr>
        <w:t>current monthly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catches up with their present circumstances. The Court speculates that d</w:t>
      </w:r>
      <w:r>
        <w:rPr>
          <w:rFonts w:ascii="Times New Roman" w:hAnsi="Times New Roman" w:cs="Times New Roman"/>
          <w:color w:val="000000"/>
          <w:sz w:val="20"/>
          <w:szCs w:val="20"/>
        </w:rPr>
        <w:t>e</w:t>
      </w:r>
      <w:r>
        <w:rPr>
          <w:rFonts w:ascii="Times New Roman" w:hAnsi="Times New Roman" w:cs="Times New Roman"/>
          <w:color w:val="000000"/>
          <w:sz w:val="20"/>
          <w:szCs w:val="20"/>
        </w:rPr>
        <w:t xml:space="preserve">lay might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giv[e] </w:t>
      </w:r>
      <w:r>
        <w:rPr>
          <w:rFonts w:ascii="Times New Roman" w:hAnsi="Times New Roman" w:cs="Times New Roman"/>
          <w:color w:val="000000"/>
          <w:sz w:val="20"/>
          <w:szCs w:val="20"/>
        </w:rPr>
        <w:t>the appearance of bad faith,</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Pr>
          <w:rFonts w:ascii="Times New Roman" w:hAnsi="Times New Roman" w:cs="Times New Roman"/>
          <w:i/>
          <w:iCs/>
          <w:color w:val="000000"/>
          <w:sz w:val="20"/>
          <w:szCs w:val="20"/>
        </w:rPr>
        <w:t>ante,</w:t>
      </w:r>
      <w:r>
        <w:rPr>
          <w:rFonts w:ascii="Times New Roman" w:hAnsi="Times New Roman" w:cs="Times New Roman"/>
          <w:color w:val="000000"/>
          <w:sz w:val="20"/>
          <w:szCs w:val="20"/>
        </w:rPr>
        <w:t xml:space="preserve"> at ---- (citing </w:t>
      </w:r>
      <w:hyperlink r:id="rId383" w:history="1">
        <w:r>
          <w:rPr>
            <w:rFonts w:ascii="Times New Roman" w:hAnsi="Times New Roman" w:cs="Times New Roman"/>
            <w:color w:val="0000FF"/>
            <w:sz w:val="20"/>
            <w:szCs w:val="20"/>
            <w:u w:val="single"/>
          </w:rPr>
          <w:t>§ 1325(a)(7)</w:t>
        </w:r>
      </w:hyperlink>
      <w:r>
        <w:rPr>
          <w:rFonts w:ascii="Times New Roman" w:hAnsi="Times New Roman" w:cs="Times New Roman"/>
          <w:color w:val="000000"/>
          <w:sz w:val="20"/>
          <w:szCs w:val="20"/>
        </w:rPr>
        <w:t>), but it offers no e</w:t>
      </w:r>
      <w:r>
        <w:rPr>
          <w:rFonts w:ascii="Times New Roman" w:hAnsi="Times New Roman" w:cs="Times New Roman"/>
          <w:color w:val="000000"/>
          <w:sz w:val="20"/>
          <w:szCs w:val="20"/>
        </w:rPr>
        <w:t>xplanation of why that is so, and no authority supporting it.</w:t>
      </w:r>
      <w:hyperlink w:anchor="Document1zzB01342022242875" w:history="1">
        <w:r>
          <w:rPr>
            <w:rFonts w:ascii="Times New Roman" w:hAnsi="Times New Roman" w:cs="Times New Roman"/>
            <w:color w:val="0000FF"/>
            <w:sz w:val="20"/>
            <w:szCs w:val="20"/>
            <w:u w:val="single"/>
            <w:vertAlign w:val="superscript"/>
          </w:rPr>
          <w:t>FN4</w:t>
        </w:r>
      </w:hyperlink>
      <w:bookmarkStart w:id="61" w:name="Document1zzF01342022242875"/>
      <w:bookmarkEnd w:id="61"/>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ind w:left="720"/>
        <w:jc w:val="both"/>
        <w:rPr>
          <w:rFonts w:ascii="Times New Roman" w:hAnsi="Times New Roman" w:cs="Times New Roman"/>
          <w:color w:val="000000"/>
          <w:sz w:val="24"/>
          <w:szCs w:val="24"/>
        </w:rPr>
      </w:pPr>
      <w:hyperlink w:anchor="Document1zzF01342022242875" w:history="1">
        <w:r>
          <w:rPr>
            <w:rFonts w:ascii="Times New Roman" w:hAnsi="Times New Roman" w:cs="Times New Roman"/>
            <w:color w:val="0000FF"/>
            <w:sz w:val="20"/>
            <w:szCs w:val="20"/>
            <w:u w:val="single"/>
          </w:rPr>
          <w:t>FN4.</w:t>
        </w:r>
      </w:hyperlink>
      <w:bookmarkStart w:id="62" w:name="Document1zzB01342022242875"/>
      <w:bookmarkEnd w:id="62"/>
      <w:r>
        <w:rPr>
          <w:rFonts w:ascii="Times New Roman" w:hAnsi="Times New Roman" w:cs="Times New Roman"/>
          <w:color w:val="000000"/>
          <w:sz w:val="20"/>
          <w:szCs w:val="20"/>
        </w:rPr>
        <w:t xml:space="preserve"> Neither of the two Court of Appeals cases the Court cites- </w:t>
      </w:r>
      <w:hyperlink r:id="rId384" w:history="1">
        <w:r>
          <w:rPr>
            <w:rFonts w:ascii="Times New Roman" w:hAnsi="Times New Roman" w:cs="Times New Roman"/>
            <w:i/>
            <w:iCs/>
            <w:color w:val="0000FF"/>
            <w:sz w:val="20"/>
            <w:szCs w:val="20"/>
            <w:u w:val="single"/>
          </w:rPr>
          <w:t>In re Myers,</w:t>
        </w:r>
      </w:hyperlink>
      <w:hyperlink r:id="rId385" w:history="1">
        <w:r>
          <w:rPr>
            <w:rFonts w:ascii="Times New Roman" w:hAnsi="Times New Roman" w:cs="Times New Roman"/>
            <w:color w:val="0000FF"/>
            <w:sz w:val="20"/>
            <w:szCs w:val="20"/>
            <w:u w:val="single"/>
          </w:rPr>
          <w:t xml:space="preserve"> 491 F.3d 120, 125 (C.A.3 2007)</w:t>
        </w:r>
      </w:hyperlink>
      <w:r>
        <w:rPr>
          <w:rFonts w:ascii="Times New Roman" w:hAnsi="Times New Roman" w:cs="Times New Roman"/>
          <w:color w:val="000000"/>
          <w:sz w:val="20"/>
          <w:szCs w:val="20"/>
        </w:rPr>
        <w:t xml:space="preserve">, and </w:t>
      </w:r>
      <w:hyperlink r:id="rId386" w:history="1">
        <w:r>
          <w:rPr>
            <w:rFonts w:ascii="Times New Roman" w:hAnsi="Times New Roman" w:cs="Times New Roman"/>
            <w:i/>
            <w:iCs/>
            <w:color w:val="0000FF"/>
            <w:sz w:val="20"/>
            <w:szCs w:val="20"/>
            <w:u w:val="single"/>
          </w:rPr>
          <w:t>Neufeld v. Freeman,</w:t>
        </w:r>
      </w:hyperlink>
      <w:hyperlink r:id="rId387" w:history="1">
        <w:r>
          <w:rPr>
            <w:rFonts w:ascii="Times New Roman" w:hAnsi="Times New Roman" w:cs="Times New Roman"/>
            <w:color w:val="0000FF"/>
            <w:sz w:val="20"/>
            <w:szCs w:val="20"/>
            <w:u w:val="single"/>
          </w:rPr>
          <w:t xml:space="preserve"> 794 F.2d 149, 15</w:t>
        </w:r>
        <w:r>
          <w:rPr>
            <w:rFonts w:ascii="Times New Roman" w:hAnsi="Times New Roman" w:cs="Times New Roman"/>
            <w:color w:val="0000FF"/>
            <w:sz w:val="20"/>
            <w:szCs w:val="20"/>
            <w:u w:val="single"/>
          </w:rPr>
          <w:t>3 (C.A.4 1986)</w:t>
        </w:r>
      </w:hyperlink>
      <w:r>
        <w:rPr>
          <w:rFonts w:ascii="Times New Roman" w:hAnsi="Times New Roman" w:cs="Times New Roman"/>
          <w:color w:val="000000"/>
          <w:sz w:val="20"/>
          <w:szCs w:val="20"/>
        </w:rPr>
        <w:t>-involved a debtor's delaying his pet</w:t>
      </w:r>
      <w:r>
        <w:rPr>
          <w:rFonts w:ascii="Times New Roman" w:hAnsi="Times New Roman" w:cs="Times New Roman"/>
          <w:color w:val="000000"/>
          <w:sz w:val="20"/>
          <w:szCs w:val="20"/>
        </w:rPr>
        <w:t>i</w:t>
      </w:r>
      <w:r>
        <w:rPr>
          <w:rFonts w:ascii="Times New Roman" w:hAnsi="Times New Roman" w:cs="Times New Roman"/>
          <w:color w:val="000000"/>
          <w:sz w:val="20"/>
          <w:szCs w:val="20"/>
        </w:rPr>
        <w:t>tion until his circumstances would permit the court to confirm a repayment plan.</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Even if bad faith were a real worry, or if it were essential to a debtor's prospects that he invoke § 362's automatic</w:t>
      </w:r>
      <w:r>
        <w:rPr>
          <w:rFonts w:ascii="Times New Roman" w:hAnsi="Times New Roman" w:cs="Times New Roman"/>
          <w:color w:val="000000"/>
          <w:sz w:val="20"/>
          <w:szCs w:val="20"/>
        </w:rPr>
        <w:t xml:space="preserve"> stay immediately, the debtor might ask the bankruptcy court to excuse him from filing a statement of current income, so that it determines his </w:t>
      </w:r>
      <w:r>
        <w:rPr>
          <w:rFonts w:ascii="Times New Roman" w:hAnsi="Times New Roman" w:cs="Times New Roman"/>
          <w:color w:val="000000"/>
          <w:sz w:val="20"/>
          <w:szCs w:val="20"/>
        </w:rPr>
        <w:t>“</w:t>
      </w:r>
      <w:r>
        <w:rPr>
          <w:rFonts w:ascii="Times New Roman" w:hAnsi="Times New Roman" w:cs="Times New Roman"/>
          <w:color w:val="000000"/>
          <w:sz w:val="20"/>
          <w:szCs w:val="20"/>
        </w:rPr>
        <w:t>currently monthly income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at a later date. See </w:t>
      </w:r>
      <w:hyperlink r:id="rId388" w:history="1">
        <w:r>
          <w:rPr>
            <w:rFonts w:ascii="Times New Roman" w:hAnsi="Times New Roman" w:cs="Times New Roman"/>
            <w:color w:val="0000FF"/>
            <w:sz w:val="20"/>
            <w:szCs w:val="20"/>
            <w:u w:val="single"/>
          </w:rPr>
          <w:t>§ 101(10A)(A)(ii)</w:t>
        </w:r>
      </w:hyperlink>
      <w:r>
        <w:rPr>
          <w:rFonts w:ascii="Times New Roman" w:hAnsi="Times New Roman" w:cs="Times New Roman"/>
          <w:color w:val="000000"/>
          <w:sz w:val="20"/>
          <w:szCs w:val="20"/>
        </w:rPr>
        <w:t xml:space="preserve">. The Court dismisses this alternative, explaining that if the Code requires a mechanical approach this solution would </w:t>
      </w:r>
      <w:r>
        <w:rPr>
          <w:rFonts w:ascii="Times New Roman" w:hAnsi="Times New Roman" w:cs="Times New Roman"/>
          <w:color w:val="000000"/>
          <w:sz w:val="20"/>
          <w:szCs w:val="20"/>
        </w:rPr>
        <w:t>“</w:t>
      </w:r>
      <w:r>
        <w:rPr>
          <w:rFonts w:ascii="Times New Roman" w:hAnsi="Times New Roman" w:cs="Times New Roman"/>
          <w:color w:val="000000"/>
          <w:sz w:val="20"/>
          <w:szCs w:val="20"/>
        </w:rPr>
        <w:t>improperly undermine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it, and if the Code allows exceptions for changed circumstances the solution is unnecessary. </w:t>
      </w:r>
      <w:hyperlink r:id="rId389" w:history="1">
        <w:r>
          <w:rPr>
            <w:rFonts w:ascii="Times New Roman" w:hAnsi="Times New Roman" w:cs="Times New Roman"/>
            <w:i/>
            <w:iCs/>
            <w:color w:val="0000FF"/>
            <w:sz w:val="20"/>
            <w:szCs w:val="20"/>
            <w:u w:val="single"/>
          </w:rPr>
          <w:t>Ante,</w:t>
        </w:r>
      </w:hyperlink>
      <w:hyperlink r:id="rId390" w:history="1">
        <w:r>
          <w:rPr>
            <w:rFonts w:ascii="Times New Roman" w:hAnsi="Times New Roman" w:cs="Times New Roman"/>
            <w:color w:val="0000FF"/>
            <w:sz w:val="20"/>
            <w:szCs w:val="20"/>
            <w:u w:val="single"/>
          </w:rPr>
          <w:t xml:space="preserve"> at ----.</w:t>
        </w:r>
      </w:hyperlink>
      <w:r>
        <w:rPr>
          <w:rFonts w:ascii="Times New Roman" w:hAnsi="Times New Roman" w:cs="Times New Roman"/>
          <w:color w:val="000000"/>
          <w:sz w:val="20"/>
          <w:szCs w:val="20"/>
        </w:rPr>
        <w:t xml:space="preserve"> The second premise is correct, but the first is not. </w:t>
      </w:r>
      <w:r>
        <w:rPr>
          <w:rFonts w:ascii="Times New Roman" w:hAnsi="Times New Roman" w:cs="Times New Roman"/>
          <w:color w:val="000000"/>
          <w:sz w:val="20"/>
          <w:szCs w:val="20"/>
        </w:rPr>
        <w:lastRenderedPageBreak/>
        <w:t xml:space="preserve">Congress does not pursue its purposes at all costs.   </w:t>
      </w:r>
      <w:hyperlink r:id="rId391" w:history="1">
        <w:r>
          <w:rPr>
            <w:rFonts w:ascii="Times New Roman" w:hAnsi="Times New Roman" w:cs="Times New Roman"/>
            <w:i/>
            <w:iCs/>
            <w:color w:val="0000FF"/>
            <w:sz w:val="20"/>
            <w:szCs w:val="20"/>
            <w:u w:val="single"/>
          </w:rPr>
          <w:t>Rodriguez v. United States,</w:t>
        </w:r>
      </w:hyperlink>
      <w:hyperlink r:id="rId392" w:history="1">
        <w:r>
          <w:rPr>
            <w:rFonts w:ascii="Times New Roman" w:hAnsi="Times New Roman" w:cs="Times New Roman"/>
            <w:color w:val="0000FF"/>
            <w:sz w:val="20"/>
            <w:szCs w:val="20"/>
            <w:u w:val="single"/>
          </w:rPr>
          <w:t xml:space="preserve"> 480 U.S. 522, 525-526, 107 S.Ct. 1391, 94 L.Ed.2d 533 (1987)</w:t>
        </w:r>
      </w:hyperlink>
      <w:r>
        <w:rPr>
          <w:rFonts w:ascii="Times New Roman" w:hAnsi="Times New Roman" w:cs="Times New Roman"/>
          <w:color w:val="000000"/>
          <w:sz w:val="20"/>
          <w:szCs w:val="20"/>
        </w:rPr>
        <w:t xml:space="preserve"> </w:t>
      </w:r>
      <w:r>
        <w:rPr>
          <w:rFonts w:ascii="Times New Roman" w:hAnsi="Times New Roman" w:cs="Times New Roman"/>
          <w:i/>
          <w:iCs/>
          <w:color w:val="000000"/>
          <w:sz w:val="20"/>
          <w:szCs w:val="20"/>
        </w:rPr>
        <w:t>(per curiam)</w:t>
      </w:r>
      <w:r>
        <w:rPr>
          <w:rFonts w:ascii="Times New Roman" w:hAnsi="Times New Roman" w:cs="Times New Roman"/>
          <w:color w:val="000000"/>
          <w:sz w:val="20"/>
          <w:szCs w:val="20"/>
        </w:rPr>
        <w:t>. Here i</w:t>
      </w:r>
      <w:r>
        <w:rPr>
          <w:rFonts w:ascii="Times New Roman" w:hAnsi="Times New Roman" w:cs="Times New Roman"/>
          <w:color w:val="000000"/>
          <w:sz w:val="20"/>
          <w:szCs w:val="20"/>
        </w:rPr>
        <w:t>t may have struck the very balance the Court thinks critical by creating a fixed formula but leaving leeway as to the time to which it applies.</w:t>
      </w:r>
      <w:hyperlink w:anchor="Document1zzB01452022242875" w:history="1">
        <w:r>
          <w:rPr>
            <w:rFonts w:ascii="Times New Roman" w:hAnsi="Times New Roman" w:cs="Times New Roman"/>
            <w:color w:val="0000FF"/>
            <w:sz w:val="20"/>
            <w:szCs w:val="20"/>
            <w:u w:val="single"/>
            <w:vertAlign w:val="superscript"/>
          </w:rPr>
          <w:t>FN5</w:t>
        </w:r>
      </w:hyperlink>
      <w:bookmarkStart w:id="63" w:name="Document1zzF01452022242875"/>
      <w:bookmarkEnd w:id="63"/>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ind w:left="720"/>
        <w:jc w:val="both"/>
        <w:rPr>
          <w:rFonts w:ascii="Times New Roman" w:hAnsi="Times New Roman" w:cs="Times New Roman"/>
          <w:color w:val="000000"/>
          <w:sz w:val="24"/>
          <w:szCs w:val="24"/>
        </w:rPr>
      </w:pPr>
      <w:hyperlink w:anchor="Document1zzF01452022242875" w:history="1">
        <w:r>
          <w:rPr>
            <w:rFonts w:ascii="Times New Roman" w:hAnsi="Times New Roman" w:cs="Times New Roman"/>
            <w:color w:val="0000FF"/>
            <w:sz w:val="20"/>
            <w:szCs w:val="20"/>
            <w:u w:val="single"/>
          </w:rPr>
          <w:t>FN5.</w:t>
        </w:r>
      </w:hyperlink>
      <w:bookmarkStart w:id="64" w:name="Document1zzB01452022242875"/>
      <w:bookmarkEnd w:id="64"/>
      <w:r>
        <w:rPr>
          <w:rFonts w:ascii="Times New Roman" w:hAnsi="Times New Roman" w:cs="Times New Roman"/>
          <w:color w:val="000000"/>
          <w:sz w:val="20"/>
          <w:szCs w:val="20"/>
        </w:rPr>
        <w:t xml:space="preserve"> The Court observes that not every debtor will benefit from this exception, </w:t>
      </w:r>
      <w:hyperlink r:id="rId393" w:history="1">
        <w:r>
          <w:rPr>
            <w:rFonts w:ascii="Times New Roman" w:hAnsi="Times New Roman" w:cs="Times New Roman"/>
            <w:i/>
            <w:iCs/>
            <w:color w:val="0000FF"/>
            <w:sz w:val="20"/>
            <w:szCs w:val="20"/>
            <w:u w:val="single"/>
          </w:rPr>
          <w:t>ante,</w:t>
        </w:r>
      </w:hyperlink>
      <w:hyperlink r:id="rId394" w:history="1">
        <w:r>
          <w:rPr>
            <w:rFonts w:ascii="Times New Roman" w:hAnsi="Times New Roman" w:cs="Times New Roman"/>
            <w:color w:val="0000FF"/>
            <w:sz w:val="20"/>
            <w:szCs w:val="20"/>
            <w:u w:val="single"/>
          </w:rPr>
          <w:t xml:space="preserve"> at ----, and n. 6,</w:t>
        </w:r>
      </w:hyperlink>
      <w:r>
        <w:rPr>
          <w:rFonts w:ascii="Times New Roman" w:hAnsi="Times New Roman" w:cs="Times New Roman"/>
          <w:color w:val="000000"/>
          <w:sz w:val="20"/>
          <w:szCs w:val="20"/>
        </w:rPr>
        <w:t xml:space="preserve"> since </w:t>
      </w:r>
      <w:hyperlink r:id="rId395" w:history="1">
        <w:r>
          <w:rPr>
            <w:rFonts w:ascii="Times New Roman" w:hAnsi="Times New Roman" w:cs="Times New Roman"/>
            <w:color w:val="0000FF"/>
            <w:sz w:val="20"/>
            <w:szCs w:val="20"/>
            <w:u w:val="single"/>
          </w:rPr>
          <w:t>§ 521(i)(3)</w:t>
        </w:r>
      </w:hyperlink>
      <w:r>
        <w:rPr>
          <w:rFonts w:ascii="Times New Roman" w:hAnsi="Times New Roman" w:cs="Times New Roman"/>
          <w:color w:val="000000"/>
          <w:sz w:val="20"/>
          <w:szCs w:val="20"/>
        </w:rPr>
        <w:t xml:space="preserve"> provides that a bankruptcy court may not grant a r</w:t>
      </w:r>
      <w:r>
        <w:rPr>
          <w:rFonts w:ascii="Times New Roman" w:hAnsi="Times New Roman" w:cs="Times New Roman"/>
          <w:color w:val="000000"/>
          <w:sz w:val="20"/>
          <w:szCs w:val="20"/>
        </w:rPr>
        <w:t>e</w:t>
      </w:r>
      <w:r>
        <w:rPr>
          <w:rFonts w:ascii="Times New Roman" w:hAnsi="Times New Roman" w:cs="Times New Roman"/>
          <w:color w:val="000000"/>
          <w:sz w:val="20"/>
          <w:szCs w:val="20"/>
        </w:rPr>
        <w:t xml:space="preserve">quest (which may be made </w:t>
      </w:r>
      <w:r>
        <w:rPr>
          <w:rFonts w:ascii="Times New Roman" w:hAnsi="Times New Roman" w:cs="Times New Roman"/>
          <w:i/>
          <w:iCs/>
          <w:color w:val="000000"/>
          <w:sz w:val="20"/>
          <w:szCs w:val="20"/>
        </w:rPr>
        <w:t>after</w:t>
      </w:r>
      <w:r>
        <w:rPr>
          <w:rFonts w:ascii="Times New Roman" w:hAnsi="Times New Roman" w:cs="Times New Roman"/>
          <w:color w:val="000000"/>
          <w:sz w:val="20"/>
          <w:szCs w:val="20"/>
        </w:rPr>
        <w:t xml:space="preserve"> the deadline for filing the current-income schedule) for an exte</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sion of more than 45 days to file such </w:t>
      </w:r>
      <w:r>
        <w:rPr>
          <w:rFonts w:ascii="Times New Roman" w:hAnsi="Times New Roman" w:cs="Times New Roman"/>
          <w:color w:val="000000"/>
          <w:sz w:val="20"/>
          <w:szCs w:val="20"/>
        </w:rPr>
        <w:t>a schedule. But the statute appears to assume that a court may excuse the filing of such a sch</w:t>
      </w:r>
      <w:r>
        <w:rPr>
          <w:rFonts w:ascii="Times New Roman" w:hAnsi="Times New Roman" w:cs="Times New Roman"/>
          <w:color w:val="000000"/>
          <w:sz w:val="20"/>
          <w:szCs w:val="20"/>
        </w:rPr>
        <w:t>e</w:t>
      </w:r>
      <w:r>
        <w:rPr>
          <w:rFonts w:ascii="Times New Roman" w:hAnsi="Times New Roman" w:cs="Times New Roman"/>
          <w:color w:val="000000"/>
          <w:sz w:val="20"/>
          <w:szCs w:val="20"/>
        </w:rPr>
        <w:t xml:space="preserve">dule altogether: A debtor is required to file a schedule in the first instance </w:t>
      </w:r>
      <w:r>
        <w:rPr>
          <w:rFonts w:ascii="Times New Roman" w:hAnsi="Times New Roman" w:cs="Times New Roman"/>
          <w:color w:val="000000"/>
          <w:sz w:val="20"/>
          <w:szCs w:val="20"/>
        </w:rPr>
        <w:t>“</w:t>
      </w:r>
      <w:r>
        <w:rPr>
          <w:rFonts w:ascii="Times New Roman" w:hAnsi="Times New Roman" w:cs="Times New Roman"/>
          <w:i/>
          <w:iCs/>
          <w:color w:val="000000"/>
          <w:sz w:val="20"/>
          <w:szCs w:val="20"/>
        </w:rPr>
        <w:t>unless</w:t>
      </w:r>
      <w:r>
        <w:rPr>
          <w:rFonts w:ascii="Times New Roman" w:hAnsi="Times New Roman" w:cs="Times New Roman"/>
          <w:color w:val="000000"/>
          <w:sz w:val="20"/>
          <w:szCs w:val="20"/>
        </w:rPr>
        <w:t xml:space="preserve"> the court orders otherwise,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396" w:history="1">
        <w:r>
          <w:rPr>
            <w:rFonts w:ascii="Times New Roman" w:hAnsi="Times New Roman" w:cs="Times New Roman"/>
            <w:color w:val="0000FF"/>
            <w:sz w:val="20"/>
            <w:szCs w:val="20"/>
            <w:u w:val="single"/>
          </w:rPr>
          <w:t>§ 521(a)(1)(B)</w:t>
        </w:r>
      </w:hyperlink>
      <w:r>
        <w:rPr>
          <w:rFonts w:ascii="Times New Roman" w:hAnsi="Times New Roman" w:cs="Times New Roman"/>
          <w:color w:val="000000"/>
          <w:sz w:val="20"/>
          <w:szCs w:val="20"/>
        </w:rPr>
        <w:t xml:space="preserve"> (e</w:t>
      </w:r>
      <w:r>
        <w:rPr>
          <w:rFonts w:ascii="Times New Roman" w:hAnsi="Times New Roman" w:cs="Times New Roman"/>
          <w:color w:val="000000"/>
          <w:sz w:val="20"/>
          <w:szCs w:val="20"/>
        </w:rPr>
        <w:t>m</w:t>
      </w:r>
      <w:r>
        <w:rPr>
          <w:rFonts w:ascii="Times New Roman" w:hAnsi="Times New Roman" w:cs="Times New Roman"/>
          <w:color w:val="000000"/>
          <w:sz w:val="20"/>
          <w:szCs w:val="20"/>
        </w:rPr>
        <w:t xml:space="preserve">phasis added). And </w:t>
      </w:r>
      <w:hyperlink r:id="rId397" w:history="1">
        <w:r>
          <w:rPr>
            <w:rFonts w:ascii="Times New Roman" w:hAnsi="Times New Roman" w:cs="Times New Roman"/>
            <w:color w:val="0000FF"/>
            <w:sz w:val="20"/>
            <w:szCs w:val="20"/>
            <w:u w:val="single"/>
          </w:rPr>
          <w:t>§ 101(10A)(A)(ii)</w:t>
        </w:r>
      </w:hyperlink>
      <w:r>
        <w:rPr>
          <w:rFonts w:ascii="Times New Roman" w:hAnsi="Times New Roman" w:cs="Times New Roman"/>
          <w:color w:val="000000"/>
          <w:sz w:val="20"/>
          <w:szCs w:val="20"/>
        </w:rPr>
        <w:t xml:space="preserve">'s provision of a method for calculating current monthly income </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if the debtor does not file the schedule of current income required by </w:t>
      </w:r>
      <w:hyperlink r:id="rId398" w:history="1">
        <w:r>
          <w:rPr>
            <w:rFonts w:ascii="Times New Roman" w:hAnsi="Times New Roman" w:cs="Times New Roman"/>
            <w:color w:val="0000FF"/>
            <w:sz w:val="20"/>
            <w:szCs w:val="20"/>
            <w:u w:val="single"/>
          </w:rPr>
          <w:t>section 521(a)(1)(B)(ii)</w:t>
        </w:r>
      </w:hyperlink>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makes little sense unless a court can excuse the failure to do so, since an </w:t>
      </w:r>
      <w:r>
        <w:rPr>
          <w:rFonts w:ascii="Times New Roman" w:hAnsi="Times New Roman" w:cs="Times New Roman"/>
          <w:i/>
          <w:iCs/>
          <w:color w:val="000000"/>
          <w:sz w:val="20"/>
          <w:szCs w:val="20"/>
        </w:rPr>
        <w:t>unexcused</w:t>
      </w:r>
      <w:r>
        <w:rPr>
          <w:rFonts w:ascii="Times New Roman" w:hAnsi="Times New Roman" w:cs="Times New Roman"/>
          <w:color w:val="000000"/>
          <w:sz w:val="20"/>
          <w:szCs w:val="20"/>
        </w:rPr>
        <w:t xml:space="preserve"> failure to do so would be a basis for dismissing the case, see </w:t>
      </w:r>
      <w:hyperlink r:id="rId399" w:history="1">
        <w:r>
          <w:rPr>
            <w:rFonts w:ascii="Times New Roman" w:hAnsi="Times New Roman" w:cs="Times New Roman"/>
            <w:color w:val="0000FF"/>
            <w:sz w:val="20"/>
            <w:szCs w:val="20"/>
            <w:u w:val="single"/>
          </w:rPr>
          <w:t>§ 521(i)</w:t>
        </w:r>
      </w:hyperlink>
      <w:r>
        <w:rPr>
          <w:rFonts w:ascii="Times New Roman" w:hAnsi="Times New Roman" w:cs="Times New Roman"/>
          <w:color w:val="000000"/>
          <w:sz w:val="20"/>
          <w:szCs w:val="20"/>
        </w:rPr>
        <w:t>. Allowing cou</w:t>
      </w:r>
      <w:r>
        <w:rPr>
          <w:rFonts w:ascii="Times New Roman" w:hAnsi="Times New Roman" w:cs="Times New Roman"/>
          <w:color w:val="000000"/>
          <w:sz w:val="20"/>
          <w:szCs w:val="20"/>
        </w:rPr>
        <w:t xml:space="preserve">rts to excuse such schedules does not render superfluous </w:t>
      </w:r>
      <w:hyperlink r:id="rId400" w:history="1">
        <w:r>
          <w:rPr>
            <w:rFonts w:ascii="Times New Roman" w:hAnsi="Times New Roman" w:cs="Times New Roman"/>
            <w:color w:val="0000FF"/>
            <w:sz w:val="20"/>
            <w:szCs w:val="20"/>
            <w:u w:val="single"/>
          </w:rPr>
          <w:t>§ 521(i)(3)</w:t>
        </w:r>
      </w:hyperlink>
      <w:r>
        <w:rPr>
          <w:rFonts w:ascii="Times New Roman" w:hAnsi="Times New Roman" w:cs="Times New Roman"/>
          <w:color w:val="000000"/>
          <w:sz w:val="20"/>
          <w:szCs w:val="20"/>
        </w:rPr>
        <w:t>'s authorization f</w:t>
      </w:r>
      <w:r>
        <w:rPr>
          <w:rFonts w:ascii="Times New Roman" w:hAnsi="Times New Roman" w:cs="Times New Roman"/>
          <w:color w:val="000000"/>
          <w:sz w:val="20"/>
          <w:szCs w:val="20"/>
        </w:rPr>
        <w:t xml:space="preserve">or limited extensions, since that applies to extensions sought up to 45 days </w:t>
      </w:r>
      <w:r>
        <w:rPr>
          <w:rFonts w:ascii="Times New Roman" w:hAnsi="Times New Roman" w:cs="Times New Roman"/>
          <w:i/>
          <w:iCs/>
          <w:color w:val="000000"/>
          <w:sz w:val="20"/>
          <w:szCs w:val="20"/>
        </w:rPr>
        <w:t>after</w:t>
      </w:r>
      <w:r>
        <w:rPr>
          <w:rFonts w:ascii="Times New Roman" w:hAnsi="Times New Roman" w:cs="Times New Roman"/>
          <w:color w:val="000000"/>
          <w:sz w:val="20"/>
          <w:szCs w:val="20"/>
        </w:rPr>
        <w:t xml:space="preserve"> the filing deadline, whereas </w:t>
      </w:r>
      <w:hyperlink r:id="rId401" w:history="1">
        <w:r>
          <w:rPr>
            <w:rFonts w:ascii="Times New Roman" w:hAnsi="Times New Roman" w:cs="Times New Roman"/>
            <w:color w:val="0000FF"/>
            <w:sz w:val="20"/>
            <w:szCs w:val="20"/>
            <w:u w:val="single"/>
          </w:rPr>
          <w:t>§ 521(a)(1)(B)</w:t>
        </w:r>
      </w:hyperlink>
      <w:r>
        <w:rPr>
          <w:rFonts w:ascii="Times New Roman" w:hAnsi="Times New Roman" w:cs="Times New Roman"/>
          <w:color w:val="000000"/>
          <w:sz w:val="20"/>
          <w:szCs w:val="20"/>
        </w:rPr>
        <w:t xml:space="preserve"> seems to apply only </w:t>
      </w:r>
      <w:r>
        <w:rPr>
          <w:rFonts w:ascii="Times New Roman" w:hAnsi="Times New Roman" w:cs="Times New Roman"/>
          <w:i/>
          <w:iCs/>
          <w:color w:val="000000"/>
          <w:sz w:val="20"/>
          <w:szCs w:val="20"/>
        </w:rPr>
        <w:t>before</w:t>
      </w:r>
      <w:r>
        <w:rPr>
          <w:rFonts w:ascii="Times New Roman" w:hAnsi="Times New Roman" w:cs="Times New Roman"/>
          <w:color w:val="000000"/>
          <w:sz w:val="20"/>
          <w:szCs w:val="20"/>
        </w:rPr>
        <w:t xml:space="preserve"> the deadline.</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*18</w:t>
      </w:r>
      <w:r>
        <w:rPr>
          <w:rFonts w:ascii="Times New Roman" w:hAnsi="Times New Roman" w:cs="Times New Roman"/>
          <w:color w:val="000000"/>
          <w:sz w:val="20"/>
          <w:szCs w:val="20"/>
        </w:rPr>
        <w:t xml:space="preserve"> • A debtor who learns after filing that he will be unable to repay his full projected disposable income might also be able to dismiss his case and refile it later. § 130</w:t>
      </w:r>
      <w:r>
        <w:rPr>
          <w:rFonts w:ascii="Times New Roman" w:hAnsi="Times New Roman" w:cs="Times New Roman"/>
          <w:color w:val="000000"/>
          <w:sz w:val="20"/>
          <w:szCs w:val="20"/>
        </w:rPr>
        <w:t>7(b). The Court worries that this alternative also might be deemed abusive, again with no pertinent authority for the spec</w:t>
      </w:r>
      <w:r>
        <w:rPr>
          <w:rFonts w:ascii="Times New Roman" w:hAnsi="Times New Roman" w:cs="Times New Roman"/>
          <w:color w:val="000000"/>
          <w:sz w:val="20"/>
          <w:szCs w:val="20"/>
        </w:rPr>
        <w:t>u</w:t>
      </w:r>
      <w:r>
        <w:rPr>
          <w:rFonts w:ascii="Times New Roman" w:hAnsi="Times New Roman" w:cs="Times New Roman"/>
          <w:color w:val="000000"/>
          <w:sz w:val="20"/>
          <w:szCs w:val="20"/>
        </w:rPr>
        <w:t xml:space="preserve">lation. </w:t>
      </w:r>
      <w:hyperlink w:anchor="Document1zzB01562022242875" w:history="1">
        <w:r>
          <w:rPr>
            <w:rFonts w:ascii="Times New Roman" w:hAnsi="Times New Roman" w:cs="Times New Roman"/>
            <w:color w:val="0000FF"/>
            <w:sz w:val="20"/>
            <w:szCs w:val="20"/>
            <w:u w:val="single"/>
            <w:vertAlign w:val="superscript"/>
          </w:rPr>
          <w:t>FN6</w:t>
        </w:r>
      </w:hyperlink>
      <w:bookmarkStart w:id="65" w:name="Document1zzF01562022242875"/>
      <w:bookmarkEnd w:id="65"/>
      <w:r>
        <w:rPr>
          <w:rFonts w:ascii="Times New Roman" w:hAnsi="Times New Roman" w:cs="Times New Roman"/>
          <w:color w:val="000000"/>
          <w:sz w:val="20"/>
          <w:szCs w:val="20"/>
        </w:rPr>
        <w:t xml:space="preserve"> Its concern is based prim</w:t>
      </w:r>
      <w:r>
        <w:rPr>
          <w:rFonts w:ascii="Times New Roman" w:hAnsi="Times New Roman" w:cs="Times New Roman"/>
          <w:color w:val="000000"/>
          <w:sz w:val="20"/>
          <w:szCs w:val="20"/>
        </w:rPr>
        <w:t xml:space="preserve">arily on its belief that this </w:t>
      </w:r>
      <w:r>
        <w:rPr>
          <w:rFonts w:ascii="Times New Roman" w:hAnsi="Times New Roman" w:cs="Times New Roman"/>
          <w:color w:val="000000"/>
          <w:sz w:val="20"/>
          <w:szCs w:val="20"/>
        </w:rPr>
        <w:t>“</w:t>
      </w:r>
      <w:r>
        <w:rPr>
          <w:rFonts w:ascii="Times New Roman" w:hAnsi="Times New Roman" w:cs="Times New Roman"/>
          <w:color w:val="000000"/>
          <w:sz w:val="20"/>
          <w:szCs w:val="20"/>
        </w:rPr>
        <w:t>circumvents the st</w:t>
      </w:r>
      <w:r>
        <w:rPr>
          <w:rFonts w:ascii="Times New Roman" w:hAnsi="Times New Roman" w:cs="Times New Roman"/>
          <w:color w:val="000000"/>
          <w:sz w:val="20"/>
          <w:szCs w:val="20"/>
        </w:rPr>
        <w:t>a</w:t>
      </w:r>
      <w:r>
        <w:rPr>
          <w:rFonts w:ascii="Times New Roman" w:hAnsi="Times New Roman" w:cs="Times New Roman"/>
          <w:color w:val="000000"/>
          <w:sz w:val="20"/>
          <w:szCs w:val="20"/>
        </w:rPr>
        <w:t>tutory limits on a court's ability to shift the look-back p</w:t>
      </w:r>
      <w:r>
        <w:rPr>
          <w:rFonts w:ascii="Times New Roman" w:hAnsi="Times New Roman" w:cs="Times New Roman"/>
          <w:color w:val="000000"/>
          <w:sz w:val="20"/>
          <w:szCs w:val="20"/>
        </w:rPr>
        <w:t>e</w:t>
      </w:r>
      <w:r>
        <w:rPr>
          <w:rFonts w:ascii="Times New Roman" w:hAnsi="Times New Roman" w:cs="Times New Roman"/>
          <w:color w:val="000000"/>
          <w:sz w:val="20"/>
          <w:szCs w:val="20"/>
        </w:rPr>
        <w:t>riod.</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402" w:history="1">
        <w:r>
          <w:rPr>
            <w:rFonts w:ascii="Times New Roman" w:hAnsi="Times New Roman" w:cs="Times New Roman"/>
            <w:i/>
            <w:iCs/>
            <w:color w:val="0000FF"/>
            <w:sz w:val="20"/>
            <w:szCs w:val="20"/>
            <w:u w:val="single"/>
          </w:rPr>
          <w:t>Ante,</w:t>
        </w:r>
      </w:hyperlink>
      <w:hyperlink r:id="rId403" w:history="1">
        <w:r>
          <w:rPr>
            <w:rFonts w:ascii="Times New Roman" w:hAnsi="Times New Roman" w:cs="Times New Roman"/>
            <w:color w:val="0000FF"/>
            <w:sz w:val="20"/>
            <w:szCs w:val="20"/>
            <w:u w:val="single"/>
          </w:rPr>
          <w:t xml:space="preserve"> at ---- - ----.</w:t>
        </w:r>
      </w:hyperlink>
      <w:r>
        <w:rPr>
          <w:rFonts w:ascii="Times New Roman" w:hAnsi="Times New Roman" w:cs="Times New Roman"/>
          <w:color w:val="000000"/>
          <w:sz w:val="20"/>
          <w:szCs w:val="20"/>
        </w:rPr>
        <w:t xml:space="preserve"> That belief is mistaken, both because the Court exaggerates the statutory l</w:t>
      </w:r>
      <w:r>
        <w:rPr>
          <w:rFonts w:ascii="Times New Roman" w:hAnsi="Times New Roman" w:cs="Times New Roman"/>
          <w:color w:val="000000"/>
          <w:sz w:val="20"/>
          <w:szCs w:val="20"/>
        </w:rPr>
        <w:t>i</w:t>
      </w:r>
      <w:r>
        <w:rPr>
          <w:rFonts w:ascii="Times New Roman" w:hAnsi="Times New Roman" w:cs="Times New Roman"/>
          <w:color w:val="000000"/>
          <w:sz w:val="20"/>
          <w:szCs w:val="20"/>
        </w:rPr>
        <w:t>mitations on adjusting the look-back period, and b</w:t>
      </w:r>
      <w:r>
        <w:rPr>
          <w:rFonts w:ascii="Times New Roman" w:hAnsi="Times New Roman" w:cs="Times New Roman"/>
          <w:color w:val="000000"/>
          <w:sz w:val="20"/>
          <w:szCs w:val="20"/>
        </w:rPr>
        <w:t>e</w:t>
      </w:r>
      <w:r>
        <w:rPr>
          <w:rFonts w:ascii="Times New Roman" w:hAnsi="Times New Roman" w:cs="Times New Roman"/>
          <w:color w:val="000000"/>
          <w:sz w:val="20"/>
          <w:szCs w:val="20"/>
        </w:rPr>
        <w:t>cause, just as it does not defeat the di</w:t>
      </w:r>
      <w:r>
        <w:rPr>
          <w:rFonts w:ascii="Times New Roman" w:hAnsi="Times New Roman" w:cs="Times New Roman"/>
          <w:color w:val="000000"/>
          <w:sz w:val="20"/>
          <w:szCs w:val="20"/>
        </w:rPr>
        <w:t>sposable-income formula's rigidity to allow adjustments regarding the time of determining that figure, it would not unde</w:t>
      </w:r>
      <w:r>
        <w:rPr>
          <w:rFonts w:ascii="Times New Roman" w:hAnsi="Times New Roman" w:cs="Times New Roman"/>
          <w:color w:val="000000"/>
          <w:sz w:val="20"/>
          <w:szCs w:val="20"/>
        </w:rPr>
        <w:t>r</w:t>
      </w:r>
      <w:r>
        <w:rPr>
          <w:rFonts w:ascii="Times New Roman" w:hAnsi="Times New Roman" w:cs="Times New Roman"/>
          <w:color w:val="000000"/>
          <w:sz w:val="20"/>
          <w:szCs w:val="20"/>
        </w:rPr>
        <w:t>mine the limitations on adjustment applicable in a pending case to allow the debtor to dismiss and r</w:t>
      </w:r>
      <w:r>
        <w:rPr>
          <w:rFonts w:ascii="Times New Roman" w:hAnsi="Times New Roman" w:cs="Times New Roman"/>
          <w:color w:val="000000"/>
          <w:sz w:val="20"/>
          <w:szCs w:val="20"/>
        </w:rPr>
        <w:t>e</w:t>
      </w:r>
      <w:r>
        <w:rPr>
          <w:rFonts w:ascii="Times New Roman" w:hAnsi="Times New Roman" w:cs="Times New Roman"/>
          <w:color w:val="000000"/>
          <w:sz w:val="20"/>
          <w:szCs w:val="20"/>
        </w:rPr>
        <w:lastRenderedPageBreak/>
        <w:t>file.</w:t>
      </w:r>
      <w:hyperlink w:anchor="Document1zzB01672022242875" w:history="1">
        <w:r>
          <w:rPr>
            <w:rFonts w:ascii="Times New Roman" w:hAnsi="Times New Roman" w:cs="Times New Roman"/>
            <w:color w:val="0000FF"/>
            <w:sz w:val="20"/>
            <w:szCs w:val="20"/>
            <w:u w:val="single"/>
            <w:vertAlign w:val="superscript"/>
          </w:rPr>
          <w:t>FN7</w:t>
        </w:r>
      </w:hyperlink>
      <w:bookmarkStart w:id="66" w:name="Document1zzF01672022242875"/>
      <w:bookmarkEnd w:id="66"/>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ind w:left="720"/>
        <w:jc w:val="both"/>
        <w:rPr>
          <w:rFonts w:ascii="Times New Roman" w:hAnsi="Times New Roman" w:cs="Times New Roman"/>
          <w:color w:val="000000"/>
          <w:sz w:val="24"/>
          <w:szCs w:val="24"/>
        </w:rPr>
      </w:pPr>
      <w:hyperlink w:anchor="Document1zzF01562022242875" w:history="1">
        <w:r>
          <w:rPr>
            <w:rFonts w:ascii="Times New Roman" w:hAnsi="Times New Roman" w:cs="Times New Roman"/>
            <w:color w:val="0000FF"/>
            <w:sz w:val="20"/>
            <w:szCs w:val="20"/>
            <w:u w:val="single"/>
          </w:rPr>
          <w:t>FN6.</w:t>
        </w:r>
      </w:hyperlink>
      <w:bookmarkStart w:id="67" w:name="Document1zzB01562022242875"/>
      <w:bookmarkEnd w:id="67"/>
      <w:r>
        <w:rPr>
          <w:rFonts w:ascii="Times New Roman" w:hAnsi="Times New Roman" w:cs="Times New Roman"/>
          <w:color w:val="000000"/>
          <w:sz w:val="20"/>
          <w:szCs w:val="20"/>
        </w:rPr>
        <w:t xml:space="preserve"> The sole authority the Court supplies-a single Bankruptcy Court decision predating </w:t>
      </w:r>
      <w:r>
        <w:rPr>
          <w:rFonts w:ascii="Times New Roman" w:hAnsi="Times New Roman" w:cs="Times New Roman"/>
          <w:color w:val="000000"/>
          <w:sz w:val="20"/>
          <w:szCs w:val="20"/>
        </w:rPr>
        <w:t xml:space="preserve">BAPCPA-provides no support. See </w:t>
      </w:r>
      <w:hyperlink r:id="rId404" w:history="1">
        <w:r>
          <w:rPr>
            <w:rFonts w:ascii="Times New Roman" w:hAnsi="Times New Roman" w:cs="Times New Roman"/>
            <w:i/>
            <w:iCs/>
            <w:color w:val="0000FF"/>
            <w:sz w:val="20"/>
            <w:szCs w:val="20"/>
            <w:u w:val="single"/>
          </w:rPr>
          <w:t>In re Glenn,</w:t>
        </w:r>
      </w:hyperlink>
      <w:hyperlink r:id="rId405" w:history="1">
        <w:r>
          <w:rPr>
            <w:rFonts w:ascii="Times New Roman" w:hAnsi="Times New Roman" w:cs="Times New Roman"/>
            <w:color w:val="0000FF"/>
            <w:sz w:val="20"/>
            <w:szCs w:val="20"/>
            <w:u w:val="single"/>
          </w:rPr>
          <w:t xml:space="preserve"> 288 B.R. 516, 519-521 (Bkr</w:t>
        </w:r>
        <w:r>
          <w:rPr>
            <w:rFonts w:ascii="Times New Roman" w:hAnsi="Times New Roman" w:cs="Times New Roman"/>
            <w:color w:val="0000FF"/>
            <w:sz w:val="20"/>
            <w:szCs w:val="20"/>
            <w:u w:val="single"/>
          </w:rPr>
          <w:t>t</w:t>
        </w:r>
        <w:r>
          <w:rPr>
            <w:rFonts w:ascii="Times New Roman" w:hAnsi="Times New Roman" w:cs="Times New Roman"/>
            <w:color w:val="0000FF"/>
            <w:sz w:val="20"/>
            <w:szCs w:val="20"/>
            <w:u w:val="single"/>
          </w:rPr>
          <w:t>cy.E.D.Tenn.2002)</w:t>
        </w:r>
      </w:hyperlink>
      <w:r>
        <w:rPr>
          <w:rFonts w:ascii="Times New Roman" w:hAnsi="Times New Roman" w:cs="Times New Roman"/>
          <w:color w:val="000000"/>
          <w:sz w:val="20"/>
          <w:szCs w:val="20"/>
        </w:rPr>
        <w:t>. Although acknowled</w:t>
      </w:r>
      <w:r>
        <w:rPr>
          <w:rFonts w:ascii="Times New Roman" w:hAnsi="Times New Roman" w:cs="Times New Roman"/>
          <w:color w:val="000000"/>
          <w:sz w:val="20"/>
          <w:szCs w:val="20"/>
        </w:rPr>
        <w:t>g</w:t>
      </w:r>
      <w:r>
        <w:rPr>
          <w:rFonts w:ascii="Times New Roman" w:hAnsi="Times New Roman" w:cs="Times New Roman"/>
          <w:color w:val="000000"/>
          <w:sz w:val="20"/>
          <w:szCs w:val="20"/>
        </w:rPr>
        <w:t xml:space="preserve">ing that </w:t>
      </w:r>
      <w:r>
        <w:rPr>
          <w:rFonts w:ascii="Times New Roman" w:hAnsi="Times New Roman" w:cs="Times New Roman"/>
          <w:color w:val="000000"/>
          <w:sz w:val="20"/>
          <w:szCs w:val="20"/>
        </w:rPr>
        <w:t>“</w:t>
      </w:r>
      <w:r>
        <w:rPr>
          <w:rFonts w:ascii="Times New Roman" w:hAnsi="Times New Roman" w:cs="Times New Roman"/>
          <w:color w:val="000000"/>
          <w:sz w:val="20"/>
          <w:szCs w:val="20"/>
        </w:rPr>
        <w:t>[m]ultiple filings by a d</w:t>
      </w:r>
      <w:r>
        <w:rPr>
          <w:rFonts w:ascii="Times New Roman" w:hAnsi="Times New Roman" w:cs="Times New Roman"/>
          <w:color w:val="000000"/>
          <w:sz w:val="20"/>
          <w:szCs w:val="20"/>
        </w:rPr>
        <w:t>ebtor are not, in and of themselves, improper,</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the court did note that </w:t>
      </w:r>
      <w:r>
        <w:rPr>
          <w:rFonts w:ascii="Times New Roman" w:hAnsi="Times New Roman" w:cs="Times New Roman"/>
          <w:color w:val="000000"/>
          <w:sz w:val="20"/>
          <w:szCs w:val="20"/>
        </w:rPr>
        <w:t>“</w:t>
      </w:r>
      <w:r>
        <w:rPr>
          <w:rFonts w:ascii="Times New Roman" w:hAnsi="Times New Roman" w:cs="Times New Roman"/>
          <w:color w:val="000000"/>
          <w:sz w:val="20"/>
          <w:szCs w:val="20"/>
        </w:rPr>
        <w:t>whether this is the first or subsequent filin[g]</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by the debtor is one among the </w:t>
      </w:r>
      <w:r>
        <w:rPr>
          <w:rFonts w:ascii="Times New Roman" w:hAnsi="Times New Roman" w:cs="Times New Roman"/>
          <w:color w:val="000000"/>
          <w:sz w:val="20"/>
          <w:szCs w:val="20"/>
        </w:rPr>
        <w:t>“</w:t>
      </w:r>
      <w:r>
        <w:rPr>
          <w:rFonts w:ascii="Times New Roman" w:hAnsi="Times New Roman" w:cs="Times New Roman"/>
          <w:color w:val="000000"/>
          <w:sz w:val="20"/>
          <w:szCs w:val="20"/>
        </w:rPr>
        <w:t>total</w:t>
      </w:r>
      <w:r>
        <w:rPr>
          <w:rFonts w:ascii="Times New Roman" w:hAnsi="Times New Roman" w:cs="Times New Roman"/>
          <w:color w:val="000000"/>
          <w:sz w:val="20"/>
          <w:szCs w:val="20"/>
        </w:rPr>
        <w:t>i</w:t>
      </w:r>
      <w:r>
        <w:rPr>
          <w:rFonts w:ascii="Times New Roman" w:hAnsi="Times New Roman" w:cs="Times New Roman"/>
          <w:color w:val="000000"/>
          <w:sz w:val="20"/>
          <w:szCs w:val="20"/>
        </w:rPr>
        <w:t>ty of the circumstances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to be considered in a good-faith analysis. </w:t>
      </w:r>
      <w:hyperlink r:id="rId406" w:history="1">
        <w:r>
          <w:rPr>
            <w:rFonts w:ascii="Times New Roman" w:hAnsi="Times New Roman" w:cs="Times New Roman"/>
            <w:i/>
            <w:iCs/>
            <w:color w:val="0000FF"/>
            <w:sz w:val="20"/>
            <w:szCs w:val="20"/>
            <w:u w:val="single"/>
          </w:rPr>
          <w:t>Id.,</w:t>
        </w:r>
      </w:hyperlink>
      <w:hyperlink r:id="rId407" w:history="1">
        <w:r>
          <w:rPr>
            <w:rFonts w:ascii="Times New Roman" w:hAnsi="Times New Roman" w:cs="Times New Roman"/>
            <w:color w:val="0000FF"/>
            <w:sz w:val="20"/>
            <w:szCs w:val="20"/>
            <w:u w:val="single"/>
          </w:rPr>
          <w:t xml:space="preserve"> at 520</w:t>
        </w:r>
      </w:hyperlink>
      <w:r>
        <w:rPr>
          <w:rFonts w:ascii="Times New Roman" w:hAnsi="Times New Roman" w:cs="Times New Roman"/>
          <w:color w:val="000000"/>
          <w:sz w:val="20"/>
          <w:szCs w:val="20"/>
        </w:rPr>
        <w:t xml:space="preserve"> (internal quotation marks omitted). The debtor in the case at hand </w:t>
      </w:r>
      <w:r>
        <w:rPr>
          <w:rFonts w:ascii="Times New Roman" w:hAnsi="Times New Roman" w:cs="Times New Roman"/>
          <w:color w:val="000000"/>
          <w:sz w:val="20"/>
          <w:szCs w:val="20"/>
        </w:rPr>
        <w:t xml:space="preserve">had filed three previous Chapter 13 petitions, </w:t>
      </w:r>
      <w:r>
        <w:rPr>
          <w:rFonts w:ascii="Times New Roman" w:hAnsi="Times New Roman" w:cs="Times New Roman"/>
          <w:color w:val="000000"/>
          <w:sz w:val="20"/>
          <w:szCs w:val="20"/>
        </w:rPr>
        <w:t>“</w:t>
      </w:r>
      <w:r>
        <w:rPr>
          <w:rFonts w:ascii="Times New Roman" w:hAnsi="Times New Roman" w:cs="Times New Roman"/>
          <w:color w:val="000000"/>
          <w:sz w:val="20"/>
          <w:szCs w:val="20"/>
        </w:rPr>
        <w:t>each on the eve of a scheduled foreclosure,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and a</w:t>
      </w:r>
      <w:r>
        <w:rPr>
          <w:rFonts w:ascii="Times New Roman" w:hAnsi="Times New Roman" w:cs="Times New Roman"/>
          <w:color w:val="000000"/>
          <w:sz w:val="20"/>
          <w:szCs w:val="20"/>
        </w:rPr>
        <w:t>c</w:t>
      </w:r>
      <w:r>
        <w:rPr>
          <w:rFonts w:ascii="Times New Roman" w:hAnsi="Times New Roman" w:cs="Times New Roman"/>
          <w:color w:val="000000"/>
          <w:sz w:val="20"/>
          <w:szCs w:val="20"/>
        </w:rPr>
        <w:t xml:space="preserve">cording to the court </w:t>
      </w:r>
      <w:r>
        <w:rPr>
          <w:rFonts w:ascii="Times New Roman" w:hAnsi="Times New Roman" w:cs="Times New Roman"/>
          <w:color w:val="000000"/>
          <w:sz w:val="20"/>
          <w:szCs w:val="20"/>
        </w:rPr>
        <w:t>“</w:t>
      </w:r>
      <w:r>
        <w:rPr>
          <w:rFonts w:ascii="Times New Roman" w:hAnsi="Times New Roman" w:cs="Times New Roman"/>
          <w:color w:val="000000"/>
          <w:sz w:val="20"/>
          <w:szCs w:val="20"/>
        </w:rPr>
        <w:t>never had any intention of following through with any of the Chapter 13 cases,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but had used the bankruptcy process </w:t>
      </w:r>
      <w:r>
        <w:rPr>
          <w:rFonts w:ascii="Times New Roman" w:hAnsi="Times New Roman" w:cs="Times New Roman"/>
          <w:color w:val="000000"/>
          <w:sz w:val="20"/>
          <w:szCs w:val="20"/>
        </w:rPr>
        <w:t>“</w:t>
      </w:r>
      <w:r>
        <w:rPr>
          <w:rFonts w:ascii="Times New Roman" w:hAnsi="Times New Roman" w:cs="Times New Roman"/>
          <w:color w:val="000000"/>
          <w:sz w:val="20"/>
          <w:szCs w:val="20"/>
        </w:rPr>
        <w:t>to hold [his credi</w:t>
      </w:r>
      <w:r>
        <w:rPr>
          <w:rFonts w:ascii="Times New Roman" w:hAnsi="Times New Roman" w:cs="Times New Roman"/>
          <w:color w:val="000000"/>
          <w:sz w:val="20"/>
          <w:szCs w:val="20"/>
        </w:rPr>
        <w:t>tor] hostage, while remaining in his residence without paying for it.</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408" w:history="1">
        <w:r>
          <w:rPr>
            <w:rFonts w:ascii="Times New Roman" w:hAnsi="Times New Roman" w:cs="Times New Roman"/>
            <w:i/>
            <w:iCs/>
            <w:color w:val="0000FF"/>
            <w:sz w:val="20"/>
            <w:szCs w:val="20"/>
            <w:u w:val="single"/>
          </w:rPr>
          <w:t>Id.,</w:t>
        </w:r>
      </w:hyperlink>
      <w:hyperlink r:id="rId409" w:history="1">
        <w:r>
          <w:rPr>
            <w:rFonts w:ascii="Times New Roman" w:hAnsi="Times New Roman" w:cs="Times New Roman"/>
            <w:color w:val="0000FF"/>
            <w:sz w:val="20"/>
            <w:szCs w:val="20"/>
            <w:u w:val="single"/>
          </w:rPr>
          <w:t xml:space="preserve"> at 520-521.</w:t>
        </w:r>
      </w:hyperlink>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ind w:left="720"/>
        <w:jc w:val="both"/>
        <w:rPr>
          <w:rFonts w:ascii="Times New Roman" w:hAnsi="Times New Roman" w:cs="Times New Roman"/>
          <w:color w:val="000000"/>
          <w:sz w:val="24"/>
          <w:szCs w:val="24"/>
        </w:rPr>
      </w:pPr>
      <w:hyperlink w:anchor="Document1zzF01672022242875" w:history="1">
        <w:r>
          <w:rPr>
            <w:rFonts w:ascii="Times New Roman" w:hAnsi="Times New Roman" w:cs="Times New Roman"/>
            <w:color w:val="0000FF"/>
            <w:sz w:val="20"/>
            <w:szCs w:val="20"/>
            <w:u w:val="single"/>
          </w:rPr>
          <w:t>FN7.</w:t>
        </w:r>
      </w:hyperlink>
      <w:bookmarkStart w:id="68" w:name="Document1zzB01672022242875"/>
      <w:bookmarkEnd w:id="68"/>
      <w:r>
        <w:rPr>
          <w:rFonts w:ascii="Times New Roman" w:hAnsi="Times New Roman" w:cs="Times New Roman"/>
          <w:color w:val="000000"/>
          <w:sz w:val="20"/>
          <w:szCs w:val="20"/>
        </w:rPr>
        <w:t xml:space="preserve"> The Court also notes that the Code precludes a debtor who has had a case pending in the last 180 days from refiling if</w:t>
      </w:r>
      <w:r>
        <w:rPr>
          <w:rFonts w:ascii="Times New Roman" w:hAnsi="Times New Roman" w:cs="Times New Roman"/>
          <w:color w:val="000000"/>
          <w:sz w:val="20"/>
          <w:szCs w:val="20"/>
        </w:rPr>
        <w:t xml:space="preserve"> his prior case was dismissed because he willfully failed to obey the court's orders or to appear before the court, </w:t>
      </w:r>
      <w:hyperlink r:id="rId410" w:history="1">
        <w:r>
          <w:rPr>
            <w:rFonts w:ascii="Times New Roman" w:hAnsi="Times New Roman" w:cs="Times New Roman"/>
            <w:color w:val="0000FF"/>
            <w:sz w:val="20"/>
            <w:szCs w:val="20"/>
            <w:u w:val="single"/>
          </w:rPr>
          <w:t>§ 109(g)(1)</w:t>
        </w:r>
      </w:hyperlink>
      <w:r>
        <w:rPr>
          <w:rFonts w:ascii="Times New Roman" w:hAnsi="Times New Roman" w:cs="Times New Roman"/>
          <w:color w:val="000000"/>
          <w:sz w:val="20"/>
          <w:szCs w:val="20"/>
        </w:rPr>
        <w:t xml:space="preserve">, or if he voluntarily dismissed the prior suit </w:t>
      </w:r>
      <w:r>
        <w:rPr>
          <w:rFonts w:ascii="Times New Roman" w:hAnsi="Times New Roman" w:cs="Times New Roman"/>
          <w:color w:val="000000"/>
          <w:sz w:val="20"/>
          <w:szCs w:val="20"/>
        </w:rPr>
        <w:t>“</w:t>
      </w:r>
      <w:r>
        <w:rPr>
          <w:rFonts w:ascii="Times New Roman" w:hAnsi="Times New Roman" w:cs="Times New Roman"/>
          <w:color w:val="000000"/>
          <w:sz w:val="20"/>
          <w:szCs w:val="20"/>
        </w:rPr>
        <w:t>fo</w:t>
      </w:r>
      <w:r>
        <w:rPr>
          <w:rFonts w:ascii="Times New Roman" w:hAnsi="Times New Roman" w:cs="Times New Roman"/>
          <w:color w:val="000000"/>
          <w:sz w:val="20"/>
          <w:szCs w:val="20"/>
        </w:rPr>
        <w:t>l</w:t>
      </w:r>
      <w:r>
        <w:rPr>
          <w:rFonts w:ascii="Times New Roman" w:hAnsi="Times New Roman" w:cs="Times New Roman"/>
          <w:color w:val="000000"/>
          <w:sz w:val="20"/>
          <w:szCs w:val="20"/>
        </w:rPr>
        <w:t>lowing the filing of a request for relief from the automatic stay</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under </w:t>
      </w:r>
      <w:hyperlink r:id="rId411" w:history="1">
        <w:r>
          <w:rPr>
            <w:rFonts w:ascii="Times New Roman" w:hAnsi="Times New Roman" w:cs="Times New Roman"/>
            <w:color w:val="0000FF"/>
            <w:sz w:val="20"/>
            <w:szCs w:val="20"/>
            <w:u w:val="single"/>
          </w:rPr>
          <w:t>§ 362</w:t>
        </w:r>
      </w:hyperlink>
      <w:r>
        <w:rPr>
          <w:rFonts w:ascii="Times New Roman" w:hAnsi="Times New Roman" w:cs="Times New Roman"/>
          <w:color w:val="000000"/>
          <w:sz w:val="20"/>
          <w:szCs w:val="20"/>
        </w:rPr>
        <w:t xml:space="preserve">, </w:t>
      </w:r>
      <w:hyperlink r:id="rId412" w:history="1">
        <w:r>
          <w:rPr>
            <w:rFonts w:ascii="Times New Roman" w:hAnsi="Times New Roman" w:cs="Times New Roman"/>
            <w:color w:val="0000FF"/>
            <w:sz w:val="20"/>
            <w:szCs w:val="20"/>
            <w:u w:val="single"/>
          </w:rPr>
          <w:t>§ 109(g)(2)</w:t>
        </w:r>
      </w:hyperlink>
      <w:r>
        <w:rPr>
          <w:rFonts w:ascii="Times New Roman" w:hAnsi="Times New Roman" w:cs="Times New Roman"/>
          <w:color w:val="000000"/>
          <w:sz w:val="20"/>
          <w:szCs w:val="20"/>
        </w:rPr>
        <w:t xml:space="preserve">. </w:t>
      </w:r>
      <w:hyperlink r:id="rId413" w:history="1">
        <w:r>
          <w:rPr>
            <w:rFonts w:ascii="Times New Roman" w:hAnsi="Times New Roman" w:cs="Times New Roman"/>
            <w:i/>
            <w:iCs/>
            <w:color w:val="0000FF"/>
            <w:sz w:val="20"/>
            <w:szCs w:val="20"/>
            <w:u w:val="single"/>
          </w:rPr>
          <w:t>Ante,</w:t>
        </w:r>
      </w:hyperlink>
      <w:hyperlink r:id="rId414" w:history="1">
        <w:r>
          <w:rPr>
            <w:rFonts w:ascii="Times New Roman" w:hAnsi="Times New Roman" w:cs="Times New Roman"/>
            <w:color w:val="0000FF"/>
            <w:sz w:val="20"/>
            <w:szCs w:val="20"/>
            <w:u w:val="single"/>
          </w:rPr>
          <w:t xml:space="preserve"> at ----, n. 7.</w:t>
        </w:r>
      </w:hyperlink>
      <w:r>
        <w:rPr>
          <w:rFonts w:ascii="Times New Roman" w:hAnsi="Times New Roman" w:cs="Times New Roman"/>
          <w:color w:val="000000"/>
          <w:sz w:val="20"/>
          <w:szCs w:val="20"/>
        </w:rPr>
        <w:t xml:space="preserve"> But the Court does not e</w:t>
      </w:r>
      <w:r>
        <w:rPr>
          <w:rFonts w:ascii="Times New Roman" w:hAnsi="Times New Roman" w:cs="Times New Roman"/>
          <w:color w:val="000000"/>
          <w:sz w:val="20"/>
          <w:szCs w:val="20"/>
        </w:rPr>
        <w:t>x</w:t>
      </w:r>
      <w:r>
        <w:rPr>
          <w:rFonts w:ascii="Times New Roman" w:hAnsi="Times New Roman" w:cs="Times New Roman"/>
          <w:color w:val="000000"/>
          <w:sz w:val="20"/>
          <w:szCs w:val="20"/>
        </w:rPr>
        <w:t>plain why these barriers have any bearing on whethe</w:t>
      </w:r>
      <w:r>
        <w:rPr>
          <w:rFonts w:ascii="Times New Roman" w:hAnsi="Times New Roman" w:cs="Times New Roman"/>
          <w:color w:val="000000"/>
          <w:sz w:val="20"/>
          <w:szCs w:val="20"/>
        </w:rPr>
        <w:t xml:space="preserve">r refiling for bankruptcy would be abusive when the barriers </w:t>
      </w:r>
      <w:r>
        <w:rPr>
          <w:rFonts w:ascii="Times New Roman" w:hAnsi="Times New Roman" w:cs="Times New Roman"/>
          <w:i/>
          <w:iCs/>
          <w:color w:val="000000"/>
          <w:sz w:val="20"/>
          <w:szCs w:val="20"/>
        </w:rPr>
        <w:t>do not apply</w:t>
      </w:r>
      <w:r>
        <w:rPr>
          <w:rFonts w:ascii="Times New Roman" w:hAnsi="Times New Roman" w:cs="Times New Roman"/>
          <w:color w:val="000000"/>
          <w:sz w:val="20"/>
          <w:szCs w:val="20"/>
        </w:rPr>
        <w: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A debtor unable to pursue any of these avenues to Chapter 13 might still seek relief under Chapter 7. The Court declares this cold comfort, noting that some debtors-including Lan</w:t>
      </w:r>
      <w:r>
        <w:rPr>
          <w:rFonts w:ascii="Times New Roman" w:hAnsi="Times New Roman" w:cs="Times New Roman"/>
          <w:color w:val="000000"/>
          <w:sz w:val="20"/>
          <w:szCs w:val="20"/>
        </w:rPr>
        <w:t xml:space="preserve">ning-will have incomes </w:t>
      </w:r>
      <w:r>
        <w:rPr>
          <w:rFonts w:ascii="Times New Roman" w:hAnsi="Times New Roman" w:cs="Times New Roman"/>
          <w:i/>
          <w:iCs/>
          <w:color w:val="000000"/>
          <w:sz w:val="20"/>
          <w:szCs w:val="20"/>
        </w:rPr>
        <w:t>too high</w:t>
      </w:r>
      <w:r>
        <w:rPr>
          <w:rFonts w:ascii="Times New Roman" w:hAnsi="Times New Roman" w:cs="Times New Roman"/>
          <w:color w:val="000000"/>
          <w:sz w:val="20"/>
          <w:szCs w:val="20"/>
        </w:rPr>
        <w:t xml:space="preserve"> to qualify for Chapter 7. </w:t>
      </w:r>
      <w:hyperlink r:id="rId415" w:history="1">
        <w:r>
          <w:rPr>
            <w:rFonts w:ascii="Times New Roman" w:hAnsi="Times New Roman" w:cs="Times New Roman"/>
            <w:i/>
            <w:iCs/>
            <w:color w:val="0000FF"/>
            <w:sz w:val="20"/>
            <w:szCs w:val="20"/>
            <w:u w:val="single"/>
          </w:rPr>
          <w:t>Ante,</w:t>
        </w:r>
      </w:hyperlink>
      <w:hyperlink r:id="rId416" w:history="1">
        <w:r>
          <w:rPr>
            <w:rFonts w:ascii="Times New Roman" w:hAnsi="Times New Roman" w:cs="Times New Roman"/>
            <w:color w:val="0000FF"/>
            <w:sz w:val="20"/>
            <w:szCs w:val="20"/>
            <w:u w:val="single"/>
          </w:rPr>
          <w:t xml:space="preserve"> at ---- - ----.</w:t>
        </w:r>
      </w:hyperlink>
      <w:r>
        <w:rPr>
          <w:rFonts w:ascii="Times New Roman" w:hAnsi="Times New Roman" w:cs="Times New Roman"/>
          <w:color w:val="000000"/>
          <w:sz w:val="20"/>
          <w:szCs w:val="20"/>
        </w:rPr>
        <w:t xml:space="preserve"> Some such debtors, however, may be able to show </w:t>
      </w:r>
      <w:r>
        <w:rPr>
          <w:rFonts w:ascii="Times New Roman" w:hAnsi="Times New Roman" w:cs="Times New Roman"/>
          <w:color w:val="000000"/>
          <w:sz w:val="20"/>
          <w:szCs w:val="20"/>
        </w:rPr>
        <w:t>“</w:t>
      </w:r>
      <w:r>
        <w:rPr>
          <w:rFonts w:ascii="Times New Roman" w:hAnsi="Times New Roman" w:cs="Times New Roman"/>
          <w:color w:val="000000"/>
          <w:sz w:val="20"/>
          <w:szCs w:val="20"/>
        </w:rPr>
        <w:t>special ci</w:t>
      </w:r>
      <w:r>
        <w:rPr>
          <w:rFonts w:ascii="Times New Roman" w:hAnsi="Times New Roman" w:cs="Times New Roman"/>
          <w:color w:val="000000"/>
          <w:sz w:val="20"/>
          <w:szCs w:val="20"/>
        </w:rPr>
        <w:t>r</w:t>
      </w:r>
      <w:r>
        <w:rPr>
          <w:rFonts w:ascii="Times New Roman" w:hAnsi="Times New Roman" w:cs="Times New Roman"/>
          <w:color w:val="000000"/>
          <w:sz w:val="20"/>
          <w:szCs w:val="20"/>
        </w:rPr>
        <w:t>cumstances,</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417" w:history="1">
        <w:r>
          <w:rPr>
            <w:rFonts w:ascii="Times New Roman" w:hAnsi="Times New Roman" w:cs="Times New Roman"/>
            <w:color w:val="0000FF"/>
            <w:sz w:val="20"/>
            <w:szCs w:val="20"/>
            <w:u w:val="single"/>
          </w:rPr>
          <w:t>§ 707(b)(2)(B)</w:t>
        </w:r>
      </w:hyperlink>
      <w:r>
        <w:rPr>
          <w:rFonts w:ascii="Times New Roman" w:hAnsi="Times New Roman" w:cs="Times New Roman"/>
          <w:color w:val="000000"/>
          <w:sz w:val="20"/>
          <w:szCs w:val="20"/>
        </w:rPr>
        <w:t>, and still take advantage of Chapter 7. Aside from noting the absence of a</w:t>
      </w:r>
      <w:r>
        <w:rPr>
          <w:rFonts w:ascii="Times New Roman" w:hAnsi="Times New Roman" w:cs="Times New Roman"/>
          <w:color w:val="000000"/>
          <w:sz w:val="20"/>
          <w:szCs w:val="20"/>
        </w:rPr>
        <w:t>u</w:t>
      </w:r>
      <w:r>
        <w:rPr>
          <w:rFonts w:ascii="Times New Roman" w:hAnsi="Times New Roman" w:cs="Times New Roman"/>
          <w:color w:val="000000"/>
          <w:sz w:val="20"/>
          <w:szCs w:val="20"/>
        </w:rPr>
        <w:t>thority on the issue, the Court's answer is unsati</w:t>
      </w:r>
      <w:r>
        <w:rPr>
          <w:rFonts w:ascii="Times New Roman" w:hAnsi="Times New Roman" w:cs="Times New Roman"/>
          <w:color w:val="000000"/>
          <w:sz w:val="20"/>
          <w:szCs w:val="20"/>
        </w:rPr>
        <w:t>s</w:t>
      </w:r>
      <w:r>
        <w:rPr>
          <w:rFonts w:ascii="Times New Roman" w:hAnsi="Times New Roman" w:cs="Times New Roman"/>
          <w:color w:val="000000"/>
          <w:sz w:val="20"/>
          <w:szCs w:val="20"/>
        </w:rPr>
        <w:t>fyingly circular: It notes that the sp</w:t>
      </w:r>
      <w:r>
        <w:rPr>
          <w:rFonts w:ascii="Times New Roman" w:hAnsi="Times New Roman" w:cs="Times New Roman"/>
          <w:color w:val="000000"/>
          <w:sz w:val="20"/>
          <w:szCs w:val="20"/>
        </w:rPr>
        <w:t>e</w:t>
      </w:r>
      <w:r>
        <w:rPr>
          <w:rFonts w:ascii="Times New Roman" w:hAnsi="Times New Roman" w:cs="Times New Roman"/>
          <w:color w:val="000000"/>
          <w:sz w:val="20"/>
          <w:szCs w:val="20"/>
        </w:rPr>
        <w:t xml:space="preserve">cial-circumstances exception is available only if the debtor </w:t>
      </w:r>
      <w:r>
        <w:rPr>
          <w:rFonts w:ascii="Times New Roman" w:hAnsi="Times New Roman" w:cs="Times New Roman"/>
          <w:color w:val="000000"/>
          <w:sz w:val="20"/>
          <w:szCs w:val="20"/>
        </w:rPr>
        <w:t xml:space="preserve">has </w:t>
      </w:r>
      <w:r>
        <w:rPr>
          <w:rFonts w:ascii="Times New Roman" w:hAnsi="Times New Roman" w:cs="Times New Roman"/>
          <w:color w:val="000000"/>
          <w:sz w:val="20"/>
          <w:szCs w:val="20"/>
        </w:rPr>
        <w:t>“</w:t>
      </w:r>
      <w:r>
        <w:rPr>
          <w:rFonts w:ascii="Times New Roman" w:hAnsi="Times New Roman" w:cs="Times New Roman"/>
          <w:color w:val="000000"/>
          <w:sz w:val="20"/>
          <w:szCs w:val="20"/>
        </w:rPr>
        <w:t>no re</w:t>
      </w:r>
      <w:r>
        <w:rPr>
          <w:rFonts w:ascii="Times New Roman" w:hAnsi="Times New Roman" w:cs="Times New Roman"/>
          <w:color w:val="000000"/>
          <w:sz w:val="20"/>
          <w:szCs w:val="20"/>
        </w:rPr>
        <w:t>a</w:t>
      </w:r>
      <w:r>
        <w:rPr>
          <w:rFonts w:ascii="Times New Roman" w:hAnsi="Times New Roman" w:cs="Times New Roman"/>
          <w:color w:val="000000"/>
          <w:sz w:val="20"/>
          <w:szCs w:val="20"/>
        </w:rPr>
        <w:t>sonable alternative,</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hyperlink r:id="rId418" w:history="1">
        <w:r>
          <w:rPr>
            <w:rFonts w:ascii="Times New Roman" w:hAnsi="Times New Roman" w:cs="Times New Roman"/>
            <w:color w:val="0000FF"/>
            <w:sz w:val="20"/>
            <w:szCs w:val="20"/>
            <w:u w:val="single"/>
          </w:rPr>
          <w:t>§ 707(b)(2)(B)(i)</w:t>
        </w:r>
      </w:hyperlink>
      <w:r>
        <w:rPr>
          <w:rFonts w:ascii="Times New Roman" w:hAnsi="Times New Roman" w:cs="Times New Roman"/>
          <w:color w:val="000000"/>
          <w:sz w:val="20"/>
          <w:szCs w:val="20"/>
        </w:rPr>
        <w:t xml:space="preserve">, which will not be true after today </w:t>
      </w:r>
      <w:r>
        <w:rPr>
          <w:rFonts w:ascii="Times New Roman" w:hAnsi="Times New Roman" w:cs="Times New Roman"/>
          <w:color w:val="000000"/>
          <w:sz w:val="20"/>
          <w:szCs w:val="20"/>
        </w:rPr>
        <w:lastRenderedPageBreak/>
        <w:t>given the Court's holding that bankruptcy courts can consider changes in a debtor's income. As for those who cannot establish special circumstances, it is hard to understand why there is cause for concern. Co</w:t>
      </w:r>
      <w:r>
        <w:rPr>
          <w:rFonts w:ascii="Times New Roman" w:hAnsi="Times New Roman" w:cs="Times New Roman"/>
          <w:color w:val="000000"/>
          <w:sz w:val="20"/>
          <w:szCs w:val="20"/>
        </w:rPr>
        <w:t>n</w:t>
      </w:r>
      <w:r>
        <w:rPr>
          <w:rFonts w:ascii="Times New Roman" w:hAnsi="Times New Roman" w:cs="Times New Roman"/>
          <w:color w:val="000000"/>
          <w:sz w:val="20"/>
          <w:szCs w:val="20"/>
        </w:rPr>
        <w:t xml:space="preserve">gress has </w:t>
      </w:r>
      <w:r>
        <w:rPr>
          <w:rFonts w:ascii="Times New Roman" w:hAnsi="Times New Roman" w:cs="Times New Roman"/>
          <w:color w:val="000000"/>
          <w:sz w:val="20"/>
          <w:szCs w:val="20"/>
        </w:rPr>
        <w:t>evidently concluded that such debtors do not need the last-ditch relief of liquidation, and that they are not suitable candidates for repaying their debts (at least in part) under Chapter 13's protective umbrella. We have neither reason nor warrant to seco</w:t>
      </w:r>
      <w:r>
        <w:rPr>
          <w:rFonts w:ascii="Times New Roman" w:hAnsi="Times New Roman" w:cs="Times New Roman"/>
          <w:color w:val="000000"/>
          <w:sz w:val="20"/>
          <w:szCs w:val="20"/>
        </w:rPr>
        <w:t>nd-guess either determination.</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0"/>
          <w:szCs w:val="20"/>
        </w:rPr>
        <w:t>* * *</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0"/>
          <w:szCs w:val="20"/>
        </w:rPr>
        <w:t>*19</w:t>
      </w:r>
      <w:r>
        <w:rPr>
          <w:rFonts w:ascii="Times New Roman" w:hAnsi="Times New Roman" w:cs="Times New Roman"/>
          <w:color w:val="000000"/>
          <w:sz w:val="20"/>
          <w:szCs w:val="20"/>
        </w:rPr>
        <w:t xml:space="preserve"> Underlying the Court's interpretation is an u</w:t>
      </w:r>
      <w:r>
        <w:rPr>
          <w:rFonts w:ascii="Times New Roman" w:hAnsi="Times New Roman" w:cs="Times New Roman"/>
          <w:color w:val="000000"/>
          <w:sz w:val="20"/>
          <w:szCs w:val="20"/>
        </w:rPr>
        <w:t>n</w:t>
      </w:r>
      <w:r>
        <w:rPr>
          <w:rFonts w:ascii="Times New Roman" w:hAnsi="Times New Roman" w:cs="Times New Roman"/>
          <w:color w:val="000000"/>
          <w:sz w:val="20"/>
          <w:szCs w:val="20"/>
        </w:rPr>
        <w:t>derstandable urge: Sometimes the best reading of a text yields results that one thinks must be a mistake, and bending that reading just a little bit will allow all the</w:t>
      </w:r>
      <w:r>
        <w:rPr>
          <w:rFonts w:ascii="Times New Roman" w:hAnsi="Times New Roman" w:cs="Times New Roman"/>
          <w:color w:val="000000"/>
          <w:sz w:val="20"/>
          <w:szCs w:val="20"/>
        </w:rPr>
        <w:t xml:space="preserve"> pieces to fit together. But taking liberties with text in light of outcome makes sense only if we assume that we know better than Congress which outcomes are mistaken. And by refusing to hold that Congress meant what it said, but see </w:t>
      </w:r>
      <w:hyperlink r:id="rId419" w:history="1">
        <w:r>
          <w:rPr>
            <w:rFonts w:ascii="Times New Roman" w:hAnsi="Times New Roman" w:cs="Times New Roman"/>
            <w:i/>
            <w:iCs/>
            <w:color w:val="0000FF"/>
            <w:sz w:val="20"/>
            <w:szCs w:val="20"/>
            <w:u w:val="single"/>
          </w:rPr>
          <w:t>Connecticut Nat. Bank v. Germain,</w:t>
        </w:r>
      </w:hyperlink>
      <w:hyperlink r:id="rId420" w:history="1">
        <w:r>
          <w:rPr>
            <w:rFonts w:ascii="Times New Roman" w:hAnsi="Times New Roman" w:cs="Times New Roman"/>
            <w:color w:val="0000FF"/>
            <w:sz w:val="20"/>
            <w:szCs w:val="20"/>
            <w:u w:val="single"/>
          </w:rPr>
          <w:t xml:space="preserve"> 503 U.S. 249, 253-254, 112 S</w:t>
        </w:r>
        <w:r>
          <w:rPr>
            <w:rFonts w:ascii="Times New Roman" w:hAnsi="Times New Roman" w:cs="Times New Roman"/>
            <w:color w:val="0000FF"/>
            <w:sz w:val="20"/>
            <w:szCs w:val="20"/>
            <w:u w:val="single"/>
          </w:rPr>
          <w:t>.Ct. 1146, 117 L.Ed.2d 391 (1992)</w:t>
        </w:r>
      </w:hyperlink>
      <w:r>
        <w:rPr>
          <w:rFonts w:ascii="Times New Roman" w:hAnsi="Times New Roman" w:cs="Times New Roman"/>
          <w:color w:val="000000"/>
          <w:sz w:val="20"/>
          <w:szCs w:val="20"/>
        </w:rPr>
        <w:t>, we deprive it of the ability to say what it means in the future. It may be that no inte</w:t>
      </w:r>
      <w:r>
        <w:rPr>
          <w:rFonts w:ascii="Times New Roman" w:hAnsi="Times New Roman" w:cs="Times New Roman"/>
          <w:color w:val="000000"/>
          <w:sz w:val="20"/>
          <w:szCs w:val="20"/>
        </w:rPr>
        <w:t>r</w:t>
      </w:r>
      <w:r>
        <w:rPr>
          <w:rFonts w:ascii="Times New Roman" w:hAnsi="Times New Roman" w:cs="Times New Roman"/>
          <w:color w:val="000000"/>
          <w:sz w:val="20"/>
          <w:szCs w:val="20"/>
        </w:rPr>
        <w:t xml:space="preserve">pretation of </w:t>
      </w:r>
      <w:hyperlink r:id="rId421" w:history="1">
        <w:r>
          <w:rPr>
            <w:rFonts w:ascii="Times New Roman" w:hAnsi="Times New Roman" w:cs="Times New Roman"/>
            <w:color w:val="0000FF"/>
            <w:sz w:val="20"/>
            <w:szCs w:val="20"/>
            <w:u w:val="single"/>
          </w:rPr>
          <w:t>§ 1325(b)(1)(B)</w:t>
        </w:r>
      </w:hyperlink>
      <w:r>
        <w:rPr>
          <w:rFonts w:ascii="Times New Roman" w:hAnsi="Times New Roman" w:cs="Times New Roman"/>
          <w:color w:val="000000"/>
          <w:sz w:val="20"/>
          <w:szCs w:val="20"/>
        </w:rPr>
        <w:t xml:space="preserve"> is entirely satisfying. But it is in the hard cases, even more than the easy ones, that we should faithfully apply our settled interpretive principles, and trust that Congress will corre</w:t>
      </w:r>
      <w:r>
        <w:rPr>
          <w:rFonts w:ascii="Times New Roman" w:hAnsi="Times New Roman" w:cs="Times New Roman"/>
          <w:color w:val="000000"/>
          <w:sz w:val="20"/>
          <w:szCs w:val="20"/>
        </w:rPr>
        <w:t>ct the law if what it previously prescribed is wrong.</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I respectfully dissent.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U.S.,2010.</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Hamilton v. Lanning</w:t>
      </w: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 S.Ct. ----, 2010 WL 2243704 (U.S.), 78 USLW 4518, Bankr. L. Rep. P 81,780, 10 Cal. Daily Op. Serv. 6973, 2010 Daily Journal D.A.R. 8299, 22 F</w:t>
      </w:r>
      <w:r>
        <w:rPr>
          <w:rFonts w:ascii="Times New Roman" w:hAnsi="Times New Roman" w:cs="Times New Roman"/>
          <w:color w:val="000000"/>
          <w:sz w:val="20"/>
          <w:szCs w:val="20"/>
        </w:rPr>
        <w:t>la. L. Weekly Fed. S 427</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0"/>
          <w:szCs w:val="20"/>
        </w:rPr>
        <w:t>END OF DOCUMENT</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headerReference w:type="default" r:id="rId422"/>
          <w:footerReference w:type="default" r:id="rId423"/>
          <w:type w:val="continuous"/>
          <w:pgSz w:w="12240" w:h="15840"/>
          <w:pgMar w:top="2016" w:right="1440" w:bottom="1800" w:left="1440" w:header="720" w:footer="720" w:gutter="0"/>
          <w:cols w:num="2" w:space="720"/>
          <w:noEndnote/>
        </w:sectPr>
      </w:pP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lastRenderedPageBreak/>
        <w:t>Westlaw Delivery Summary Report for KARLIN,JANIS M</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bl>
      <w:tblPr>
        <w:tblW w:w="0" w:type="auto"/>
        <w:tblLayout w:type="fixed"/>
        <w:tblCellMar>
          <w:left w:w="0" w:type="dxa"/>
          <w:right w:w="0" w:type="dxa"/>
        </w:tblCellMar>
        <w:tblLook w:val="0000"/>
      </w:tblPr>
      <w:tblGrid>
        <w:gridCol w:w="3780"/>
        <w:gridCol w:w="5339"/>
      </w:tblGrid>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Date/Time of Request:</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Monday, July 19, 2010 12:49 Central</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Client Identifier:</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LANNING</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Database:</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KEYCITE-HIST</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Citation Text:</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S.Ct. ----</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Service:</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KeyCite</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Lines:</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132</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Documents:</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1</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Images:</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0</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Recipient(s):</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kfaenza@fedbar.org</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jan.hamilton@topeka13trustee.com</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 judge_karlin@ksb.uscourts.gov</w:t>
            </w:r>
          </w:p>
        </w:tc>
      </w:tr>
    </w:tbl>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t>Ms. Faenza, this will be the first part of the materials, and we will let you know what other materials, if any, should be dissiminated for the bankruptcy presentation. Jan Karlin</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The material accompanying this summary is subject to copyright. Usage is go</w:t>
      </w:r>
      <w:r>
        <w:rPr>
          <w:rFonts w:ascii="Times New Roman" w:hAnsi="Times New Roman" w:cs="Times New Roman"/>
          <w:color w:val="000000"/>
          <w:sz w:val="20"/>
          <w:szCs w:val="20"/>
        </w:rPr>
        <w:t>verned by contract with Thomson Reuters, West and their affiliates.</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headerReference w:type="default" r:id="rId424"/>
          <w:footerReference w:type="default" r:id="rId425"/>
          <w:pgSz w:w="12240" w:h="15840"/>
          <w:pgMar w:top="2318" w:right="1080" w:bottom="1800" w:left="1080" w:header="720" w:footer="720" w:gutter="0"/>
          <w:cols w:space="720"/>
          <w:noEndnote/>
        </w:sect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headerReference w:type="default" r:id="rId426"/>
          <w:footerReference w:type="default" r:id="rId427"/>
          <w:pgSz w:w="12240" w:h="15840"/>
          <w:pgMar w:top="2520" w:right="1440" w:bottom="1800" w:left="1440" w:header="720" w:footer="720" w:gutter="0"/>
          <w:pgNumType w:start="1"/>
          <w:cols w:space="720"/>
          <w:noEndnote/>
        </w:sect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headerReference w:type="default" r:id="rId428"/>
          <w:footerReference w:type="default" r:id="rId429"/>
          <w:type w:val="continuous"/>
          <w:pgSz w:w="12240" w:h="15840"/>
          <w:pgMar w:top="2016" w:right="1440" w:bottom="1800" w:left="1440" w:header="720" w:footer="720" w:gutter="0"/>
          <w:cols w:space="720"/>
          <w:noEndnote/>
        </w:sectPr>
      </w:pPr>
    </w:p>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0"/>
          <w:szCs w:val="20"/>
        </w:rPr>
        <w:lastRenderedPageBreak/>
        <w:t>Date of Printing: Jul 19, 2010</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0"/>
          <w:szCs w:val="20"/>
        </w:rPr>
        <w:t>KEYCITE</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noProof/>
          <w:color w:val="0000FF"/>
          <w:sz w:val="20"/>
          <w:szCs w:val="20"/>
          <w:u w:val="single"/>
        </w:rPr>
        <w:drawing>
          <wp:inline distT="0" distB="0" distL="0" distR="0">
            <wp:extent cx="128905" cy="128905"/>
            <wp:effectExtent l="19050" t="0" r="4445" b="0"/>
            <wp:docPr id="19" name="Picture 19">
              <a:hlinkClick xmlns:a="http://schemas.openxmlformats.org/drawingml/2006/main" r:id="rId4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srcRect/>
                    <a:stretch>
                      <a:fillRect/>
                    </a:stretch>
                  </pic:blipFill>
                  <pic:spPr bwMode="auto">
                    <a:xfrm>
                      <a:off x="0" y="0"/>
                      <a:ext cx="12890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 xml:space="preserve"> </w:t>
      </w:r>
      <w:hyperlink r:id="rId431" w:history="1">
        <w:r>
          <w:rPr>
            <w:rFonts w:ascii="Times New Roman" w:hAnsi="Times New Roman" w:cs="Times New Roman"/>
            <w:b/>
            <w:bCs/>
            <w:color w:val="0000FF"/>
            <w:sz w:val="20"/>
            <w:szCs w:val="20"/>
            <w:u w:val="single"/>
          </w:rPr>
          <w:t>Hamilton v. Lanning,</w:t>
        </w:r>
      </w:hyperlink>
      <w:r>
        <w:rPr>
          <w:rFonts w:ascii="Times New Roman" w:hAnsi="Times New Roman" w:cs="Times New Roman"/>
          <w:b/>
          <w:bCs/>
          <w:color w:val="000000"/>
          <w:sz w:val="20"/>
          <w:szCs w:val="20"/>
        </w:rPr>
        <w:t xml:space="preserve"> --- S.Ct. ----, 2010 WL 2243704, 78 USLW 4518, Bankr. L. Rep. P 81,780, 10 Cal. Daily Op. Serv. 6973, 2010 Daily Journal D.A.R. 8299, 22 Fla. L. Weekly Fed. S 427 (U.S.,Jun 07, 2010) (NO. 08-998)</w:t>
      </w:r>
    </w:p>
    <w:tbl>
      <w:tblPr>
        <w:tblW w:w="0" w:type="auto"/>
        <w:tblInd w:w="86" w:type="dxa"/>
        <w:tblLayout w:type="fixed"/>
        <w:tblCellMar>
          <w:left w:w="0" w:type="dxa"/>
          <w:right w:w="0" w:type="dxa"/>
        </w:tblCellMar>
        <w:tblLook w:val="0000"/>
      </w:tblPr>
      <w:tblGrid>
        <w:gridCol w:w="547"/>
        <w:gridCol w:w="662"/>
        <w:gridCol w:w="8151"/>
        <w:gridCol w:w="14"/>
      </w:tblGrid>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0"/>
                <w:szCs w:val="20"/>
              </w:rPr>
              <w:t>History</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0"/>
                <w:szCs w:val="20"/>
              </w:rPr>
              <w:t>Direct History</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FF"/>
                <w:sz w:val="20"/>
                <w:szCs w:val="20"/>
                <w:u w:val="single"/>
              </w:rPr>
              <w:drawing>
                <wp:inline distT="0" distB="0" distL="0" distR="0">
                  <wp:extent cx="128905" cy="128905"/>
                  <wp:effectExtent l="19050" t="0" r="4445" b="0"/>
                  <wp:docPr id="20" name="Picture 20">
                    <a:hlinkClick xmlns:a="http://schemas.openxmlformats.org/drawingml/2006/main" r:id="rId4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3"/>
                          <a:srcRect/>
                          <a:stretch>
                            <a:fillRect/>
                          </a:stretch>
                        </pic:blipFill>
                        <pic:spPr bwMode="auto">
                          <a:xfrm>
                            <a:off x="0" y="0"/>
                            <a:ext cx="128905" cy="128905"/>
                          </a:xfrm>
                          <a:prstGeom prst="rect">
                            <a:avLst/>
                          </a:prstGeom>
                          <a:noFill/>
                          <a:ln w="9525">
                            <a:noFill/>
                            <a:miter lim="800000"/>
                            <a:headEnd/>
                            <a:tailEnd/>
                          </a:ln>
                        </pic:spPr>
                      </pic:pic>
                    </a:graphicData>
                  </a:graphic>
                </wp:inline>
              </w:drawing>
            </w: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34" w:history="1">
              <w:r>
                <w:rPr>
                  <w:rFonts w:ascii="Times New Roman" w:hAnsi="Times New Roman" w:cs="Times New Roman"/>
                  <w:color w:val="0000FF"/>
                  <w:sz w:val="20"/>
                  <w:szCs w:val="20"/>
                  <w:u w:val="single"/>
                </w:rPr>
                <w:t>1</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In re Lanning, 2007 WL 1451999, Bankr. L. Rep. P 97,773 (Bankr.D.Kan. May 15, 2007) (NO. 06-41037, 06-41260)</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ind w:left="1440"/>
              <w:rPr>
                <w:rFonts w:ascii="Times New Roman" w:hAnsi="Times New Roman" w:cs="Times New Roman"/>
                <w:color w:val="000000"/>
                <w:sz w:val="24"/>
                <w:szCs w:val="24"/>
              </w:rPr>
            </w:pPr>
            <w:r>
              <w:rPr>
                <w:rFonts w:ascii="Times New Roman" w:hAnsi="Times New Roman" w:cs="Times New Roman"/>
                <w:i/>
                <w:iCs/>
                <w:color w:val="000000"/>
                <w:sz w:val="20"/>
                <w:szCs w:val="20"/>
              </w:rPr>
              <w:t>Affirmed by</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FF"/>
                <w:sz w:val="20"/>
                <w:szCs w:val="20"/>
                <w:u w:val="single"/>
              </w:rPr>
              <w:drawing>
                <wp:inline distT="0" distB="0" distL="0" distR="0">
                  <wp:extent cx="128905" cy="128905"/>
                  <wp:effectExtent l="19050" t="0" r="4445" b="0"/>
                  <wp:docPr id="21" name="Picture 21">
                    <a:hlinkClick xmlns:a="http://schemas.openxmlformats.org/drawingml/2006/main" r:id="rId4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36"/>
                          <a:srcRect/>
                          <a:stretch>
                            <a:fillRect/>
                          </a:stretch>
                        </pic:blipFill>
                        <pic:spPr bwMode="auto">
                          <a:xfrm>
                            <a:off x="0" y="0"/>
                            <a:ext cx="128905" cy="128905"/>
                          </a:xfrm>
                          <a:prstGeom prst="rect">
                            <a:avLst/>
                          </a:prstGeom>
                          <a:noFill/>
                          <a:ln w="9525">
                            <a:noFill/>
                            <a:miter lim="800000"/>
                            <a:headEnd/>
                            <a:tailEnd/>
                          </a:ln>
                        </pic:spPr>
                      </pic:pic>
                    </a:graphicData>
                  </a:graphic>
                </wp:inline>
              </w:drawing>
            </w: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37" w:history="1">
              <w:r>
                <w:rPr>
                  <w:rFonts w:ascii="Times New Roman" w:hAnsi="Times New Roman" w:cs="Times New Roman"/>
                  <w:color w:val="0000FF"/>
                  <w:sz w:val="20"/>
                  <w:szCs w:val="20"/>
                  <w:u w:val="single"/>
                </w:rPr>
                <w:t>2</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In re L</w:t>
            </w:r>
            <w:r>
              <w:rPr>
                <w:rFonts w:ascii="Times New Roman" w:hAnsi="Times New Roman" w:cs="Times New Roman"/>
                <w:color w:val="000000"/>
                <w:sz w:val="20"/>
                <w:szCs w:val="20"/>
              </w:rPr>
              <w:t>anning, 380 B.R. 17, 58 Collier Bankr.Cas.2d 1837, Bankr. L. Rep. P 81,082 (10th Cir.BAP (Kan.) Dec 13, 2007) (NO. BAP KS-07-067, BKR.06-41037)</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ind w:left="1440"/>
              <w:rPr>
                <w:rFonts w:ascii="Times New Roman" w:hAnsi="Times New Roman" w:cs="Times New Roman"/>
                <w:color w:val="000000"/>
                <w:sz w:val="24"/>
                <w:szCs w:val="24"/>
              </w:rPr>
            </w:pPr>
            <w:r>
              <w:rPr>
                <w:rFonts w:ascii="Times New Roman" w:hAnsi="Times New Roman" w:cs="Times New Roman"/>
                <w:i/>
                <w:iCs/>
                <w:color w:val="000000"/>
                <w:sz w:val="20"/>
                <w:szCs w:val="20"/>
              </w:rPr>
              <w:t>Judgment Affirmed by</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FF"/>
                <w:sz w:val="20"/>
                <w:szCs w:val="20"/>
                <w:u w:val="single"/>
              </w:rPr>
              <w:drawing>
                <wp:inline distT="0" distB="0" distL="0" distR="0">
                  <wp:extent cx="128905" cy="128905"/>
                  <wp:effectExtent l="19050" t="0" r="4445" b="0"/>
                  <wp:docPr id="22" name="Picture 22">
                    <a:hlinkClick xmlns:a="http://schemas.openxmlformats.org/drawingml/2006/main" r:id="rId4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36"/>
                          <a:srcRect/>
                          <a:stretch>
                            <a:fillRect/>
                          </a:stretch>
                        </pic:blipFill>
                        <pic:spPr bwMode="auto">
                          <a:xfrm>
                            <a:off x="0" y="0"/>
                            <a:ext cx="128905" cy="128905"/>
                          </a:xfrm>
                          <a:prstGeom prst="rect">
                            <a:avLst/>
                          </a:prstGeom>
                          <a:noFill/>
                          <a:ln w="9525">
                            <a:noFill/>
                            <a:miter lim="800000"/>
                            <a:headEnd/>
                            <a:tailEnd/>
                          </a:ln>
                        </pic:spPr>
                      </pic:pic>
                    </a:graphicData>
                  </a:graphic>
                </wp:inline>
              </w:drawing>
            </w: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39" w:history="1">
              <w:r>
                <w:rPr>
                  <w:rFonts w:ascii="Times New Roman" w:hAnsi="Times New Roman" w:cs="Times New Roman"/>
                  <w:color w:val="0000FF"/>
                  <w:sz w:val="20"/>
                  <w:szCs w:val="20"/>
                  <w:u w:val="single"/>
                </w:rPr>
                <w:t>3</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In re Lanning, 545 F.3d 1269, 60 Collier Bankr.Cas.2d 1828, Bankr. L. Rep. P 81,353 (10th Cir. Nov 13, 2008) (NO. 08-3009)</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ind w:left="1440"/>
              <w:rPr>
                <w:rFonts w:ascii="Times New Roman" w:hAnsi="Times New Roman" w:cs="Times New Roman"/>
                <w:color w:val="000000"/>
                <w:sz w:val="24"/>
                <w:szCs w:val="24"/>
              </w:rPr>
            </w:pPr>
            <w:r>
              <w:rPr>
                <w:rFonts w:ascii="Times New Roman" w:hAnsi="Times New Roman" w:cs="Times New Roman"/>
                <w:i/>
                <w:iCs/>
                <w:color w:val="000000"/>
                <w:sz w:val="20"/>
                <w:szCs w:val="20"/>
              </w:rPr>
              <w:t>Certiorari Granted in Part by</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FF"/>
                <w:sz w:val="20"/>
                <w:szCs w:val="20"/>
                <w:u w:val="single"/>
              </w:rPr>
              <w:drawing>
                <wp:inline distT="0" distB="0" distL="0" distR="0">
                  <wp:extent cx="128905" cy="128905"/>
                  <wp:effectExtent l="19050" t="0" r="4445" b="0"/>
                  <wp:docPr id="23" name="Picture 23">
                    <a:hlinkClick xmlns:a="http://schemas.openxmlformats.org/drawingml/2006/main" r:id="rId4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srcRect/>
                          <a:stretch>
                            <a:fillRect/>
                          </a:stretch>
                        </pic:blipFill>
                        <pic:spPr bwMode="auto">
                          <a:xfrm>
                            <a:off x="0" y="0"/>
                            <a:ext cx="128905" cy="128905"/>
                          </a:xfrm>
                          <a:prstGeom prst="rect">
                            <a:avLst/>
                          </a:prstGeom>
                          <a:noFill/>
                          <a:ln w="9525">
                            <a:noFill/>
                            <a:miter lim="800000"/>
                            <a:headEnd/>
                            <a:tailEnd/>
                          </a:ln>
                        </pic:spPr>
                      </pic:pic>
                    </a:graphicData>
                  </a:graphic>
                </wp:inline>
              </w:drawing>
            </w: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41" w:history="1">
              <w:r>
                <w:rPr>
                  <w:rFonts w:ascii="Times New Roman" w:hAnsi="Times New Roman" w:cs="Times New Roman"/>
                  <w:color w:val="0000FF"/>
                  <w:sz w:val="20"/>
                  <w:szCs w:val="20"/>
                  <w:u w:val="single"/>
                </w:rPr>
                <w:t>4</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Hamilton v. Lanning, 130 S.Ct. 487, 175 L.Ed.2d 343, </w:t>
            </w:r>
            <w:r>
              <w:rPr>
                <w:rFonts w:ascii="Times New Roman" w:hAnsi="Times New Roman" w:cs="Times New Roman"/>
                <w:color w:val="000000"/>
                <w:sz w:val="20"/>
                <w:szCs w:val="20"/>
              </w:rPr>
              <w:t>77 USLW 3449, 78 USLW 3010, 78 USLW 3245, 78 USLW 3251 (U.S. Nov 02, 2009) (NO. 08-998)</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ind w:left="1440"/>
              <w:rPr>
                <w:rFonts w:ascii="Times New Roman" w:hAnsi="Times New Roman" w:cs="Times New Roman"/>
                <w:color w:val="000000"/>
                <w:sz w:val="24"/>
                <w:szCs w:val="24"/>
              </w:rPr>
            </w:pPr>
            <w:r>
              <w:rPr>
                <w:rFonts w:ascii="Times New Roman" w:hAnsi="Times New Roman" w:cs="Times New Roman"/>
                <w:i/>
                <w:iCs/>
                <w:color w:val="000000"/>
                <w:sz w:val="20"/>
                <w:szCs w:val="20"/>
              </w:rPr>
              <w:t>AND Affirmed by</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=&gt;</w:t>
            </w: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42" w:history="1">
              <w:r>
                <w:rPr>
                  <w:rFonts w:ascii="Times New Roman" w:hAnsi="Times New Roman" w:cs="Times New Roman"/>
                  <w:color w:val="0000FF"/>
                  <w:sz w:val="20"/>
                  <w:szCs w:val="20"/>
                  <w:u w:val="single"/>
                </w:rPr>
                <w:t>5</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t xml:space="preserve">Hamilton v. Lanning, </w:t>
            </w:r>
            <w:r>
              <w:rPr>
                <w:rFonts w:ascii="Times New Roman" w:hAnsi="Times New Roman" w:cs="Times New Roman"/>
                <w:color w:val="000000"/>
                <w:sz w:val="20"/>
                <w:szCs w:val="20"/>
              </w:rPr>
              <w:t>--- S.Ct. ----, 2010 WL 2243704, 78 USLW 4518, Bankr. L. Rep. P 81,780, 10 Cal. Daily Op. Serv. 6973, 2010 Daily Journal D.A.R. 8299, 22 Fla. L. Weekly Fed. S 427 (U.S. Jun 07, 2010) (NO. 08-998)</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0"/>
                <w:szCs w:val="20"/>
              </w:rPr>
              <w:t>Related References</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FF"/>
                <w:sz w:val="20"/>
                <w:szCs w:val="20"/>
                <w:u w:val="single"/>
              </w:rPr>
              <w:drawing>
                <wp:inline distT="0" distB="0" distL="0" distR="0">
                  <wp:extent cx="128905" cy="128905"/>
                  <wp:effectExtent l="19050" t="0" r="4445" b="0"/>
                  <wp:docPr id="24" name="Picture 24">
                    <a:hlinkClick xmlns:a="http://schemas.openxmlformats.org/drawingml/2006/main" r:id="rId4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srcRect/>
                          <a:stretch>
                            <a:fillRect/>
                          </a:stretch>
                        </pic:blipFill>
                        <pic:spPr bwMode="auto">
                          <a:xfrm>
                            <a:off x="0" y="0"/>
                            <a:ext cx="128905" cy="128905"/>
                          </a:xfrm>
                          <a:prstGeom prst="rect">
                            <a:avLst/>
                          </a:prstGeom>
                          <a:noFill/>
                          <a:ln w="9525">
                            <a:noFill/>
                            <a:miter lim="800000"/>
                            <a:headEnd/>
                            <a:tailEnd/>
                          </a:ln>
                        </pic:spPr>
                      </pic:pic>
                    </a:graphicData>
                  </a:graphic>
                </wp:inline>
              </w:drawing>
            </w: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44" w:history="1">
              <w:r>
                <w:rPr>
                  <w:rFonts w:ascii="Times New Roman" w:hAnsi="Times New Roman" w:cs="Times New Roman"/>
                  <w:color w:val="0000FF"/>
                  <w:sz w:val="20"/>
                  <w:szCs w:val="20"/>
                  <w:u w:val="single"/>
                </w:rPr>
                <w:t>6</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Hamilton v. Lanning, 129 S.Ct. 2820, 174 L.Ed.2d 288, 77 USLW 3677 (U.S. Jun 15, 2009) (NO. 08-998)</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FF"/>
                <w:sz w:val="20"/>
                <w:szCs w:val="20"/>
                <w:u w:val="single"/>
              </w:rPr>
              <w:drawing>
                <wp:inline distT="0" distB="0" distL="0" distR="0">
                  <wp:extent cx="128905" cy="128905"/>
                  <wp:effectExtent l="19050" t="0" r="4445" b="0"/>
                  <wp:docPr id="25" name="Picture 25">
                    <a:hlinkClick xmlns:a="http://schemas.openxmlformats.org/drawingml/2006/main" r:id="rId4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srcRect/>
                          <a:stretch>
                            <a:fillRect/>
                          </a:stretch>
                        </pic:blipFill>
                        <pic:spPr bwMode="auto">
                          <a:xfrm>
                            <a:off x="0" y="0"/>
                            <a:ext cx="128905" cy="128905"/>
                          </a:xfrm>
                          <a:prstGeom prst="rect">
                            <a:avLst/>
                          </a:prstGeom>
                          <a:noFill/>
                          <a:ln w="9525">
                            <a:noFill/>
                            <a:miter lim="800000"/>
                            <a:headEnd/>
                            <a:tailEnd/>
                          </a:ln>
                        </pic:spPr>
                      </pic:pic>
                    </a:graphicData>
                  </a:graphic>
                </wp:inline>
              </w:drawing>
            </w: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46" w:history="1">
              <w:r>
                <w:rPr>
                  <w:rFonts w:ascii="Times New Roman" w:hAnsi="Times New Roman" w:cs="Times New Roman"/>
                  <w:color w:val="0000FF"/>
                  <w:sz w:val="20"/>
                  <w:szCs w:val="20"/>
                  <w:u w:val="single"/>
                </w:rPr>
                <w:t>7</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Hamilton v. Lanning, 130 S.Ct. 1568, 176 L.Ed.2d 107, 78 USLW 3479 (U.S. Feb 22, 2010) (NO. 08-998)</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0"/>
                <w:szCs w:val="20"/>
              </w:rPr>
              <w:t>Court Documents</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0"/>
                <w:szCs w:val="20"/>
              </w:rPr>
              <w:t>Appellate Court Documents (U.S.A.)</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t>U.S. Appellate Petitions, Motions and Filings</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47" w:history="1">
              <w:r>
                <w:rPr>
                  <w:rFonts w:ascii="Times New Roman" w:hAnsi="Times New Roman" w:cs="Times New Roman"/>
                  <w:color w:val="0000FF"/>
                  <w:sz w:val="20"/>
                  <w:szCs w:val="20"/>
                  <w:u w:val="single"/>
                </w:rPr>
                <w:t>8</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Hamilton v. Lanning, 2008 WL 5587513 (Appellate Petition, Motion and Filing) (U.S. Feb. 3, 2008) </w:t>
            </w:r>
            <w:r>
              <w:rPr>
                <w:rFonts w:ascii="Times New Roman" w:hAnsi="Times New Roman" w:cs="Times New Roman"/>
                <w:b/>
                <w:bCs/>
                <w:color w:val="000000"/>
                <w:sz w:val="20"/>
                <w:szCs w:val="20"/>
              </w:rPr>
              <w:t xml:space="preserve">Petition </w:t>
            </w:r>
            <w:r>
              <w:rPr>
                <w:rFonts w:ascii="Times New Roman" w:hAnsi="Times New Roman" w:cs="Times New Roman"/>
                <w:b/>
                <w:bCs/>
                <w:color w:val="000000"/>
                <w:sz w:val="20"/>
                <w:szCs w:val="20"/>
              </w:rPr>
              <w:t>for Writ of Certiorari</w:t>
            </w:r>
            <w:r>
              <w:rPr>
                <w:rFonts w:ascii="Times New Roman" w:hAnsi="Times New Roman" w:cs="Times New Roman"/>
                <w:color w:val="000000"/>
                <w:sz w:val="20"/>
                <w:szCs w:val="20"/>
              </w:rPr>
              <w:t xml:space="preserve"> (NO. 08-998)</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48" w:history="1">
              <w:r>
                <w:rPr>
                  <w:rFonts w:ascii="Times New Roman" w:hAnsi="Times New Roman" w:cs="Times New Roman"/>
                  <w:color w:val="0000FF"/>
                  <w:sz w:val="20"/>
                  <w:szCs w:val="20"/>
                  <w:u w:val="single"/>
                </w:rPr>
                <w:t>9</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Hamilton v. Lanning, 2009 WL 3162178 (Appellate Petition, Motion and</w:t>
            </w:r>
            <w:r>
              <w:rPr>
                <w:rFonts w:ascii="Times New Roman" w:hAnsi="Times New Roman" w:cs="Times New Roman"/>
                <w:color w:val="000000"/>
                <w:sz w:val="20"/>
                <w:szCs w:val="20"/>
              </w:rPr>
              <w:t xml:space="preserve"> Filing) (U.S. Sep. 29, 2009) </w:t>
            </w:r>
            <w:r>
              <w:rPr>
                <w:rFonts w:ascii="Times New Roman" w:hAnsi="Times New Roman" w:cs="Times New Roman"/>
                <w:b/>
                <w:bCs/>
                <w:color w:val="000000"/>
                <w:sz w:val="20"/>
                <w:szCs w:val="20"/>
              </w:rPr>
              <w:t>Brief for the United States as Amicus Curiae</w:t>
            </w:r>
            <w:r>
              <w:rPr>
                <w:rFonts w:ascii="Times New Roman" w:hAnsi="Times New Roman" w:cs="Times New Roman"/>
                <w:color w:val="000000"/>
                <w:sz w:val="20"/>
                <w:szCs w:val="20"/>
              </w:rPr>
              <w:t xml:space="preserve"> (NO. 08-998)</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t>U.S. Appellate Briefs</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49" w:history="1">
              <w:r>
                <w:rPr>
                  <w:rFonts w:ascii="Times New Roman" w:hAnsi="Times New Roman" w:cs="Times New Roman"/>
                  <w:color w:val="0000FF"/>
                  <w:sz w:val="20"/>
                  <w:szCs w:val="20"/>
                  <w:u w:val="single"/>
                </w:rPr>
                <w:t>10</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Hamilton v. Lanning, 2009 WL 5017534 (Appellate Brief) (U.S. Dec. 21, 2009) </w:t>
            </w:r>
            <w:r>
              <w:rPr>
                <w:rFonts w:ascii="Times New Roman" w:hAnsi="Times New Roman" w:cs="Times New Roman"/>
                <w:b/>
                <w:bCs/>
                <w:color w:val="000000"/>
                <w:sz w:val="20"/>
                <w:szCs w:val="20"/>
              </w:rPr>
              <w:t>Brief for Petitioner</w:t>
            </w:r>
            <w:r>
              <w:rPr>
                <w:rFonts w:ascii="Times New Roman" w:hAnsi="Times New Roman" w:cs="Times New Roman"/>
                <w:color w:val="000000"/>
                <w:sz w:val="20"/>
                <w:szCs w:val="20"/>
              </w:rPr>
              <w:t xml:space="preserve"> (NO. 08-</w:t>
            </w:r>
            <w:r>
              <w:rPr>
                <w:rFonts w:ascii="Times New Roman" w:hAnsi="Times New Roman" w:cs="Times New Roman"/>
                <w:color w:val="000000"/>
                <w:sz w:val="20"/>
                <w:szCs w:val="20"/>
              </w:rPr>
              <w:t>998)</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50" w:history="1">
              <w:r>
                <w:rPr>
                  <w:rFonts w:ascii="Times New Roman" w:hAnsi="Times New Roman" w:cs="Times New Roman"/>
                  <w:color w:val="0000FF"/>
                  <w:sz w:val="20"/>
                  <w:szCs w:val="20"/>
                  <w:u w:val="single"/>
                </w:rPr>
                <w:t>11</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Hamilton v. Lanning, 2009 WL 5133490 (Appellate Brief) (U.S. Dec. 28, 2009) </w:t>
            </w:r>
            <w:r>
              <w:rPr>
                <w:rFonts w:ascii="Times New Roman" w:hAnsi="Times New Roman" w:cs="Times New Roman"/>
                <w:b/>
                <w:bCs/>
                <w:color w:val="000000"/>
                <w:sz w:val="20"/>
                <w:szCs w:val="20"/>
              </w:rPr>
              <w:t>Brief For The N</w:t>
            </w:r>
            <w:r>
              <w:rPr>
                <w:rFonts w:ascii="Times New Roman" w:hAnsi="Times New Roman" w:cs="Times New Roman"/>
                <w:b/>
                <w:bCs/>
                <w:color w:val="000000"/>
                <w:sz w:val="20"/>
                <w:szCs w:val="20"/>
              </w:rPr>
              <w:t>a</w:t>
            </w:r>
            <w:r>
              <w:rPr>
                <w:rFonts w:ascii="Times New Roman" w:hAnsi="Times New Roman" w:cs="Times New Roman"/>
                <w:b/>
                <w:bCs/>
                <w:color w:val="000000"/>
                <w:sz w:val="20"/>
                <w:szCs w:val="20"/>
              </w:rPr>
              <w:t>tional</w:t>
            </w:r>
            <w:r>
              <w:rPr>
                <w:rFonts w:ascii="Times New Roman" w:hAnsi="Times New Roman" w:cs="Times New Roman"/>
                <w:b/>
                <w:bCs/>
                <w:color w:val="000000"/>
                <w:sz w:val="20"/>
                <w:szCs w:val="20"/>
              </w:rPr>
              <w:t xml:space="preserve"> Association of Consumer Bankruptcy Attorneys as Amicus Curiae in Support of Neither Party</w:t>
            </w:r>
            <w:r>
              <w:rPr>
                <w:rFonts w:ascii="Times New Roman" w:hAnsi="Times New Roman" w:cs="Times New Roman"/>
                <w:color w:val="000000"/>
                <w:sz w:val="20"/>
                <w:szCs w:val="20"/>
              </w:rPr>
              <w:t xml:space="preserve"> (NO. 08-998)</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51" w:history="1">
              <w:r>
                <w:rPr>
                  <w:rFonts w:ascii="Times New Roman" w:hAnsi="Times New Roman" w:cs="Times New Roman"/>
                  <w:color w:val="0000FF"/>
                  <w:sz w:val="20"/>
                  <w:szCs w:val="20"/>
                  <w:u w:val="single"/>
                </w:rPr>
                <w:t>12</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Hamilton v. Lanning, 2010 WL 342041 (Appellate Brief) (U.S. Jan. 27, 2010) </w:t>
            </w:r>
            <w:r>
              <w:rPr>
                <w:rFonts w:ascii="Times New Roman" w:hAnsi="Times New Roman" w:cs="Times New Roman"/>
                <w:b/>
                <w:bCs/>
                <w:color w:val="000000"/>
                <w:sz w:val="20"/>
                <w:szCs w:val="20"/>
              </w:rPr>
              <w:t>Brief for the Re</w:t>
            </w:r>
            <w:r>
              <w:rPr>
                <w:rFonts w:ascii="Times New Roman" w:hAnsi="Times New Roman" w:cs="Times New Roman"/>
                <w:b/>
                <w:bCs/>
                <w:color w:val="000000"/>
                <w:sz w:val="20"/>
                <w:szCs w:val="20"/>
              </w:rPr>
              <w:t>s</w:t>
            </w:r>
            <w:r>
              <w:rPr>
                <w:rFonts w:ascii="Times New Roman" w:hAnsi="Times New Roman" w:cs="Times New Roman"/>
                <w:b/>
                <w:bCs/>
                <w:color w:val="000000"/>
                <w:sz w:val="20"/>
                <w:szCs w:val="20"/>
              </w:rPr>
              <w:t>pondent</w:t>
            </w:r>
            <w:r>
              <w:rPr>
                <w:rFonts w:ascii="Times New Roman" w:hAnsi="Times New Roman" w:cs="Times New Roman"/>
                <w:color w:val="000000"/>
                <w:sz w:val="20"/>
                <w:szCs w:val="20"/>
              </w:rPr>
              <w:t xml:space="preserve"> (NO. 08-998)</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52" w:history="1">
              <w:r>
                <w:rPr>
                  <w:rFonts w:ascii="Times New Roman" w:hAnsi="Times New Roman" w:cs="Times New Roman"/>
                  <w:color w:val="0000FF"/>
                  <w:sz w:val="20"/>
                  <w:szCs w:val="20"/>
                  <w:u w:val="single"/>
                </w:rPr>
                <w:t>13</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Hamilton v. Lanning, 2010 WL 581628 (Appellate Brief) (U.S. Jan. 28, 2010) </w:t>
            </w:r>
            <w:r>
              <w:rPr>
                <w:rFonts w:ascii="Times New Roman" w:hAnsi="Times New Roman" w:cs="Times New Roman"/>
                <w:b/>
                <w:bCs/>
                <w:color w:val="000000"/>
                <w:sz w:val="20"/>
                <w:szCs w:val="20"/>
              </w:rPr>
              <w:t>Brief of Professor Ned W. Waxman as Amicus Curiae in Support of Respondent</w:t>
            </w:r>
            <w:r>
              <w:rPr>
                <w:rFonts w:ascii="Times New Roman" w:hAnsi="Times New Roman" w:cs="Times New Roman"/>
                <w:color w:val="000000"/>
                <w:sz w:val="20"/>
                <w:szCs w:val="20"/>
              </w:rPr>
              <w:t xml:space="preserve"> (NO. 08-998)</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53" w:history="1">
              <w:r>
                <w:rPr>
                  <w:rFonts w:ascii="Times New Roman" w:hAnsi="Times New Roman" w:cs="Times New Roman"/>
                  <w:color w:val="0000FF"/>
                  <w:sz w:val="20"/>
                  <w:szCs w:val="20"/>
                  <w:u w:val="single"/>
                </w:rPr>
                <w:t>14</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Hamilton v. Lan</w:t>
            </w:r>
            <w:r>
              <w:rPr>
                <w:rFonts w:ascii="Times New Roman" w:hAnsi="Times New Roman" w:cs="Times New Roman"/>
                <w:color w:val="000000"/>
                <w:sz w:val="20"/>
                <w:szCs w:val="20"/>
              </w:rPr>
              <w:t xml:space="preserve">ning, 2010 WL 383620 (Appellate Brief) (U.S. Feb. 3, 2010) </w:t>
            </w:r>
            <w:r>
              <w:rPr>
                <w:rFonts w:ascii="Times New Roman" w:hAnsi="Times New Roman" w:cs="Times New Roman"/>
                <w:b/>
                <w:bCs/>
                <w:color w:val="000000"/>
                <w:sz w:val="20"/>
                <w:szCs w:val="20"/>
              </w:rPr>
              <w:t>Brief for the United States as Amicus Curiae Supporting Respondent</w:t>
            </w:r>
            <w:r>
              <w:rPr>
                <w:rFonts w:ascii="Times New Roman" w:hAnsi="Times New Roman" w:cs="Times New Roman"/>
                <w:color w:val="000000"/>
                <w:sz w:val="20"/>
                <w:szCs w:val="20"/>
              </w:rPr>
              <w:t xml:space="preserve"> (NO. 08-998)</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54" w:history="1">
              <w:r>
                <w:rPr>
                  <w:rFonts w:ascii="Times New Roman" w:hAnsi="Times New Roman" w:cs="Times New Roman"/>
                  <w:color w:val="0000FF"/>
                  <w:sz w:val="20"/>
                  <w:szCs w:val="20"/>
                  <w:u w:val="single"/>
                </w:rPr>
                <w:t>15</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Hamilton v. Lanning, 2010 WL 740751 (Appellate Brief) (U.S. Feb. 26, 2010) </w:t>
            </w:r>
            <w:r>
              <w:rPr>
                <w:rFonts w:ascii="Times New Roman" w:hAnsi="Times New Roman" w:cs="Times New Roman"/>
                <w:b/>
                <w:bCs/>
                <w:color w:val="000000"/>
                <w:sz w:val="20"/>
                <w:szCs w:val="20"/>
              </w:rPr>
              <w:t>Reply Brief for Pet</w:t>
            </w:r>
            <w:r>
              <w:rPr>
                <w:rFonts w:ascii="Times New Roman" w:hAnsi="Times New Roman" w:cs="Times New Roman"/>
                <w:b/>
                <w:bCs/>
                <w:color w:val="000000"/>
                <w:sz w:val="20"/>
                <w:szCs w:val="20"/>
              </w:rPr>
              <w:t>i</w:t>
            </w:r>
            <w:r>
              <w:rPr>
                <w:rFonts w:ascii="Times New Roman" w:hAnsi="Times New Roman" w:cs="Times New Roman"/>
                <w:b/>
                <w:bCs/>
                <w:color w:val="000000"/>
                <w:sz w:val="20"/>
                <w:szCs w:val="20"/>
              </w:rPr>
              <w:t>tioner</w:t>
            </w:r>
            <w:r>
              <w:rPr>
                <w:rFonts w:ascii="Times New Roman" w:hAnsi="Times New Roman" w:cs="Times New Roman"/>
                <w:color w:val="000000"/>
                <w:sz w:val="20"/>
                <w:szCs w:val="20"/>
              </w:rPr>
              <w:t xml:space="preserve"> (NO. 08-998)</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t>C.A.10 Appellate Briefs</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55" w:history="1">
              <w:r>
                <w:rPr>
                  <w:rFonts w:ascii="Times New Roman" w:hAnsi="Times New Roman" w:cs="Times New Roman"/>
                  <w:color w:val="0000FF"/>
                  <w:sz w:val="20"/>
                  <w:szCs w:val="20"/>
                  <w:u w:val="single"/>
                </w:rPr>
                <w:t>16</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In re: STEPHANIE KAY LANNING, Debtor, Jan HAMILTON, Trustee, Appellant., 2008 WL 936699 (Appellate Brief)</w:t>
            </w:r>
            <w:r>
              <w:rPr>
                <w:rFonts w:ascii="Times New Roman" w:hAnsi="Times New Roman" w:cs="Times New Roman"/>
                <w:color w:val="000000"/>
                <w:sz w:val="20"/>
                <w:szCs w:val="20"/>
              </w:rPr>
              <w:t xml:space="preserve"> (C.A.10 Feb. 25, 2008) </w:t>
            </w:r>
            <w:r>
              <w:rPr>
                <w:rFonts w:ascii="Times New Roman" w:hAnsi="Times New Roman" w:cs="Times New Roman"/>
                <w:b/>
                <w:bCs/>
                <w:color w:val="000000"/>
                <w:sz w:val="20"/>
                <w:szCs w:val="20"/>
              </w:rPr>
              <w:t>Appellant's Opening Brief</w:t>
            </w:r>
            <w:r>
              <w:rPr>
                <w:rFonts w:ascii="Times New Roman" w:hAnsi="Times New Roman" w:cs="Times New Roman"/>
                <w:color w:val="000000"/>
                <w:sz w:val="20"/>
                <w:szCs w:val="20"/>
              </w:rPr>
              <w:t xml:space="preserve"> (NO. 08-3009)</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56" w:history="1">
              <w:r>
                <w:rPr>
                  <w:rFonts w:ascii="Times New Roman" w:hAnsi="Times New Roman" w:cs="Times New Roman"/>
                  <w:color w:val="0000FF"/>
                  <w:sz w:val="20"/>
                  <w:szCs w:val="20"/>
                  <w:u w:val="single"/>
                </w:rPr>
                <w:t>17</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In re Stephanie Kay LANNING, Debtor. Ja</w:t>
            </w:r>
            <w:r>
              <w:rPr>
                <w:rFonts w:ascii="Times New Roman" w:hAnsi="Times New Roman" w:cs="Times New Roman"/>
                <w:color w:val="000000"/>
                <w:sz w:val="20"/>
                <w:szCs w:val="20"/>
              </w:rPr>
              <w:t xml:space="preserve">n HAMILTON, Chapter 13 Trustee, Trustee-Appellant, v. STEPHANIE KAY LANNING, Debtor-Appellee., 2008 WL 1471288 (Appellate Brief) (C.A.10 Apr. 2008) </w:t>
            </w:r>
            <w:r>
              <w:rPr>
                <w:rFonts w:ascii="Times New Roman" w:hAnsi="Times New Roman" w:cs="Times New Roman"/>
                <w:b/>
                <w:bCs/>
                <w:color w:val="000000"/>
                <w:sz w:val="20"/>
                <w:szCs w:val="20"/>
              </w:rPr>
              <w:t>Brief for the United States as Amicus Curiae Supporting Affirmance</w:t>
            </w:r>
            <w:r>
              <w:rPr>
                <w:rFonts w:ascii="Times New Roman" w:hAnsi="Times New Roman" w:cs="Times New Roman"/>
                <w:color w:val="000000"/>
                <w:sz w:val="20"/>
                <w:szCs w:val="20"/>
              </w:rPr>
              <w:t xml:space="preserve"> (NO. 08-3009)</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t>U.S. Joint Appendices</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57" w:history="1">
              <w:r>
                <w:rPr>
                  <w:rFonts w:ascii="Times New Roman" w:hAnsi="Times New Roman" w:cs="Times New Roman"/>
                  <w:color w:val="0000FF"/>
                  <w:sz w:val="20"/>
                  <w:szCs w:val="20"/>
                  <w:u w:val="single"/>
                </w:rPr>
                <w:t>18</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Hamilton v. Lanning, 2009 WL 5449124 (Joint Appendix) (U.S. Dec. 21, 2009) </w:t>
            </w:r>
            <w:r>
              <w:rPr>
                <w:rFonts w:ascii="Times New Roman" w:hAnsi="Times New Roman" w:cs="Times New Roman"/>
                <w:b/>
                <w:bCs/>
                <w:color w:val="000000"/>
                <w:sz w:val="20"/>
                <w:szCs w:val="20"/>
              </w:rPr>
              <w:t>Joint Appendix</w:t>
            </w:r>
            <w:r>
              <w:rPr>
                <w:rFonts w:ascii="Times New Roman" w:hAnsi="Times New Roman" w:cs="Times New Roman"/>
                <w:color w:val="000000"/>
                <w:sz w:val="20"/>
                <w:szCs w:val="20"/>
              </w:rPr>
              <w:t xml:space="preserve"> (NO. 08-998)</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t>U.S. Oral Arguments</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58" w:history="1">
              <w:r>
                <w:rPr>
                  <w:rFonts w:ascii="Times New Roman" w:hAnsi="Times New Roman" w:cs="Times New Roman"/>
                  <w:color w:val="0000FF"/>
                  <w:sz w:val="20"/>
                  <w:szCs w:val="20"/>
                  <w:u w:val="single"/>
                </w:rPr>
                <w:t>19</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Jan HAMILTON, Chapter 13 Trustee, Petitioner, v. Stephanie KAY Lanning., 2010 WL 1</w:t>
            </w:r>
            <w:r>
              <w:rPr>
                <w:rFonts w:ascii="Times New Roman" w:hAnsi="Times New Roman" w:cs="Times New Roman"/>
                <w:color w:val="000000"/>
                <w:sz w:val="20"/>
                <w:szCs w:val="20"/>
              </w:rPr>
              <w:t xml:space="preserve">285398 (Oral Argument) (U.S. Mar. 22, 2010) </w:t>
            </w:r>
            <w:r>
              <w:rPr>
                <w:rFonts w:ascii="Times New Roman" w:hAnsi="Times New Roman" w:cs="Times New Roman"/>
                <w:b/>
                <w:bCs/>
                <w:color w:val="000000"/>
                <w:sz w:val="20"/>
                <w:szCs w:val="20"/>
              </w:rPr>
              <w:t>Oral Argument</w:t>
            </w:r>
            <w:r>
              <w:rPr>
                <w:rFonts w:ascii="Times New Roman" w:hAnsi="Times New Roman" w:cs="Times New Roman"/>
                <w:color w:val="000000"/>
                <w:sz w:val="20"/>
                <w:szCs w:val="20"/>
              </w:rPr>
              <w:t xml:space="preserve"> (NO. 08-998)</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0"/>
                <w:szCs w:val="20"/>
              </w:rPr>
              <w:t>Trial Court Documents (U.S.A.)</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t>Bkrtcy.D.Kan. Trial Motions, Memoranda And Affidavits</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59" w:history="1">
              <w:r>
                <w:rPr>
                  <w:rFonts w:ascii="Times New Roman" w:hAnsi="Times New Roman" w:cs="Times New Roman"/>
                  <w:color w:val="0000FF"/>
                  <w:sz w:val="20"/>
                  <w:szCs w:val="20"/>
                  <w:u w:val="single"/>
                </w:rPr>
                <w:t>20</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In Re: Stephanie Kay LANNING, Debtor., 2007 WL 6931601 (Trial Motion, Memorandum and Affidavit) (Bkrtcy.D</w:t>
            </w:r>
            <w:r>
              <w:rPr>
                <w:rFonts w:ascii="Times New Roman" w:hAnsi="Times New Roman" w:cs="Times New Roman"/>
                <w:color w:val="000000"/>
                <w:sz w:val="20"/>
                <w:szCs w:val="20"/>
              </w:rPr>
              <w:t xml:space="preserve">.Kan. Jun. 26, 2007) </w:t>
            </w:r>
            <w:r>
              <w:rPr>
                <w:rFonts w:ascii="Times New Roman" w:hAnsi="Times New Roman" w:cs="Times New Roman"/>
                <w:b/>
                <w:bCs/>
                <w:color w:val="000000"/>
                <w:sz w:val="20"/>
                <w:szCs w:val="20"/>
              </w:rPr>
              <w:t>Motion to Sell Real Property and for Additional Atto</w:t>
            </w:r>
            <w:r>
              <w:rPr>
                <w:rFonts w:ascii="Times New Roman" w:hAnsi="Times New Roman" w:cs="Times New Roman"/>
                <w:b/>
                <w:bCs/>
                <w:color w:val="000000"/>
                <w:sz w:val="20"/>
                <w:szCs w:val="20"/>
              </w:rPr>
              <w:t>r</w:t>
            </w:r>
            <w:r>
              <w:rPr>
                <w:rFonts w:ascii="Times New Roman" w:hAnsi="Times New Roman" w:cs="Times New Roman"/>
                <w:b/>
                <w:bCs/>
                <w:color w:val="000000"/>
                <w:sz w:val="20"/>
                <w:szCs w:val="20"/>
              </w:rPr>
              <w:t>ney Fees</w:t>
            </w:r>
            <w:r>
              <w:rPr>
                <w:rFonts w:ascii="Times New Roman" w:hAnsi="Times New Roman" w:cs="Times New Roman"/>
                <w:color w:val="000000"/>
                <w:sz w:val="20"/>
                <w:szCs w:val="20"/>
              </w:rPr>
              <w:t xml:space="preserve"> (NO. 06-41037-13)</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60" w:history="1">
              <w:r>
                <w:rPr>
                  <w:rFonts w:ascii="Times New Roman" w:hAnsi="Times New Roman" w:cs="Times New Roman"/>
                  <w:color w:val="0000FF"/>
                  <w:sz w:val="20"/>
                  <w:szCs w:val="20"/>
                  <w:u w:val="single"/>
                </w:rPr>
                <w:t>21</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In Re: Stephanie LANNING, Debtor. U.S. Bank, N.A, by US Bank Home Mortgage (KY), loan se</w:t>
            </w:r>
            <w:r>
              <w:rPr>
                <w:rFonts w:ascii="Times New Roman" w:hAnsi="Times New Roman" w:cs="Times New Roman"/>
                <w:color w:val="000000"/>
                <w:sz w:val="20"/>
                <w:szCs w:val="20"/>
              </w:rPr>
              <w:t>r</w:t>
            </w:r>
            <w:r>
              <w:rPr>
                <w:rFonts w:ascii="Times New Roman" w:hAnsi="Times New Roman" w:cs="Times New Roman"/>
                <w:color w:val="000000"/>
                <w:sz w:val="20"/>
                <w:szCs w:val="20"/>
              </w:rPr>
              <w:t>vicing agent for Creditor, v. Stephanie Lanning, Debtor and Jan Hamilton, Trustee., 2007 WL 6931602 (Trial Motion, Memorandum and Affidavit) (Bkrtcy.D.Kan. Jul. 2, 200</w:t>
            </w:r>
            <w:r>
              <w:rPr>
                <w:rFonts w:ascii="Times New Roman" w:hAnsi="Times New Roman" w:cs="Times New Roman"/>
                <w:color w:val="000000"/>
                <w:sz w:val="20"/>
                <w:szCs w:val="20"/>
              </w:rPr>
              <w:t xml:space="preserve">7) </w:t>
            </w:r>
            <w:r>
              <w:rPr>
                <w:rFonts w:ascii="Times New Roman" w:hAnsi="Times New Roman" w:cs="Times New Roman"/>
                <w:b/>
                <w:bCs/>
                <w:color w:val="000000"/>
                <w:sz w:val="20"/>
                <w:szCs w:val="20"/>
              </w:rPr>
              <w:t>Creditor's L</w:t>
            </w:r>
            <w:r>
              <w:rPr>
                <w:rFonts w:ascii="Times New Roman" w:hAnsi="Times New Roman" w:cs="Times New Roman"/>
                <w:b/>
                <w:bCs/>
                <w:color w:val="000000"/>
                <w:sz w:val="20"/>
                <w:szCs w:val="20"/>
              </w:rPr>
              <w:t>i</w:t>
            </w:r>
            <w:r>
              <w:rPr>
                <w:rFonts w:ascii="Times New Roman" w:hAnsi="Times New Roman" w:cs="Times New Roman"/>
                <w:b/>
                <w:bCs/>
                <w:color w:val="000000"/>
                <w:sz w:val="20"/>
                <w:szCs w:val="20"/>
              </w:rPr>
              <w:t>mited Objection to Motion to Sell</w:t>
            </w:r>
            <w:r>
              <w:rPr>
                <w:rFonts w:ascii="Times New Roman" w:hAnsi="Times New Roman" w:cs="Times New Roman"/>
                <w:color w:val="000000"/>
                <w:sz w:val="20"/>
                <w:szCs w:val="20"/>
              </w:rPr>
              <w:t xml:space="preserve"> (NO. 06-41037-JMK)</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t>Bkrtcy.D.Kan. Trial Filings</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61" w:history="1">
              <w:r>
                <w:rPr>
                  <w:rFonts w:ascii="Times New Roman" w:hAnsi="Times New Roman" w:cs="Times New Roman"/>
                  <w:color w:val="0000FF"/>
                  <w:sz w:val="20"/>
                  <w:szCs w:val="20"/>
                  <w:u w:val="single"/>
                </w:rPr>
                <w:t>22</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In </w:t>
            </w:r>
            <w:r>
              <w:rPr>
                <w:rFonts w:ascii="Times New Roman" w:hAnsi="Times New Roman" w:cs="Times New Roman"/>
                <w:color w:val="000000"/>
                <w:sz w:val="20"/>
                <w:szCs w:val="20"/>
              </w:rPr>
              <w:t xml:space="preserve">re: Stephanie Kay LANNING, Debtor(s)., 2006 WL 5951182 (Trial Filing) (Bkrtcy.D.Kan. Oct. 16, 2006) </w:t>
            </w:r>
            <w:r>
              <w:rPr>
                <w:rFonts w:ascii="Times New Roman" w:hAnsi="Times New Roman" w:cs="Times New Roman"/>
                <w:b/>
                <w:bCs/>
                <w:color w:val="000000"/>
                <w:sz w:val="20"/>
                <w:szCs w:val="20"/>
              </w:rPr>
              <w:t>Chapter 13 Plan</w:t>
            </w:r>
            <w:r>
              <w:rPr>
                <w:rFonts w:ascii="Times New Roman" w:hAnsi="Times New Roman" w:cs="Times New Roman"/>
                <w:color w:val="000000"/>
                <w:sz w:val="20"/>
                <w:szCs w:val="20"/>
              </w:rPr>
              <w:t xml:space="preserve"> (NO. 06-41037)</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62" w:history="1">
              <w:r>
                <w:rPr>
                  <w:rFonts w:ascii="Times New Roman" w:hAnsi="Times New Roman" w:cs="Times New Roman"/>
                  <w:color w:val="0000FF"/>
                  <w:sz w:val="20"/>
                  <w:szCs w:val="20"/>
                  <w:u w:val="single"/>
                </w:rPr>
                <w:t>23</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In Re: Stephanie LANNING, Debtor. U.S. Bank, N.A, by US Bank Home Mortgage (KY), loan se</w:t>
            </w:r>
            <w:r>
              <w:rPr>
                <w:rFonts w:ascii="Times New Roman" w:hAnsi="Times New Roman" w:cs="Times New Roman"/>
                <w:color w:val="000000"/>
                <w:sz w:val="20"/>
                <w:szCs w:val="20"/>
              </w:rPr>
              <w:t>r</w:t>
            </w:r>
            <w:r>
              <w:rPr>
                <w:rFonts w:ascii="Times New Roman" w:hAnsi="Times New Roman" w:cs="Times New Roman"/>
                <w:color w:val="000000"/>
                <w:sz w:val="20"/>
                <w:szCs w:val="20"/>
              </w:rPr>
              <w:t xml:space="preserve">vicing agent for Creditor, v. Stephanie Lanning, Debtor and Jan Hamilton, Trustee., 2007 WL 6931603 (Trial Filing) (Bkrtcy.D.Kan. Jul. 23, </w:t>
            </w:r>
            <w:r>
              <w:rPr>
                <w:rFonts w:ascii="Times New Roman" w:hAnsi="Times New Roman" w:cs="Times New Roman"/>
                <w:color w:val="000000"/>
                <w:sz w:val="20"/>
                <w:szCs w:val="20"/>
              </w:rPr>
              <w:t xml:space="preserve">2007) </w:t>
            </w:r>
            <w:r>
              <w:rPr>
                <w:rFonts w:ascii="Times New Roman" w:hAnsi="Times New Roman" w:cs="Times New Roman"/>
                <w:b/>
                <w:bCs/>
                <w:color w:val="000000"/>
                <w:sz w:val="20"/>
                <w:szCs w:val="20"/>
              </w:rPr>
              <w:t>Agreed Order Resolving Creditor's Limited Objection to Motion to Sell</w:t>
            </w:r>
            <w:r>
              <w:rPr>
                <w:rFonts w:ascii="Times New Roman" w:hAnsi="Times New Roman" w:cs="Times New Roman"/>
                <w:color w:val="000000"/>
                <w:sz w:val="20"/>
                <w:szCs w:val="20"/>
              </w:rPr>
              <w:t xml:space="preserve"> (NO. 06-41037-JMK)</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63" w:history="1">
              <w:r>
                <w:rPr>
                  <w:rFonts w:ascii="Times New Roman" w:hAnsi="Times New Roman" w:cs="Times New Roman"/>
                  <w:color w:val="0000FF"/>
                  <w:sz w:val="20"/>
                  <w:szCs w:val="20"/>
                  <w:u w:val="single"/>
                </w:rPr>
                <w:t>24</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In re: Stephanie Kay LANNING, Debtor., 2009 WL 3613064 (Trial Filing) (Bkrtcy.D.Kan. Jul. 26, 2009) </w:t>
            </w:r>
            <w:r>
              <w:rPr>
                <w:rFonts w:ascii="Times New Roman" w:hAnsi="Times New Roman" w:cs="Times New Roman"/>
                <w:b/>
                <w:bCs/>
                <w:color w:val="000000"/>
                <w:sz w:val="20"/>
                <w:szCs w:val="20"/>
              </w:rPr>
              <w:t>Order Allowing Motion to Sell Real Property and for Additional Attorney Fees</w:t>
            </w:r>
            <w:r>
              <w:rPr>
                <w:rFonts w:ascii="Times New Roman" w:hAnsi="Times New Roman" w:cs="Times New Roman"/>
                <w:color w:val="000000"/>
                <w:sz w:val="20"/>
                <w:szCs w:val="20"/>
              </w:rPr>
              <w:t xml:space="preserve"> (NO. 06-41037-13)</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0"/>
                <w:szCs w:val="20"/>
              </w:rPr>
              <w:t>Dockets (U.S.A.)</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t>U.S.</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64" w:history="1">
              <w:r>
                <w:rPr>
                  <w:rFonts w:ascii="Times New Roman" w:hAnsi="Times New Roman" w:cs="Times New Roman"/>
                  <w:color w:val="0000FF"/>
                  <w:sz w:val="20"/>
                  <w:szCs w:val="20"/>
                  <w:u w:val="single"/>
                </w:rPr>
                <w:t>25</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JAN HAMILTON, CHAPTER 13 TRUSTEE v. STEPHANIE KAY LANNING, NO. 08-998 (Docket) (U.S. Feb. 5, 2009)</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t>C.A</w:t>
            </w:r>
            <w:r>
              <w:rPr>
                <w:rFonts w:ascii="Times New Roman" w:hAnsi="Times New Roman" w:cs="Times New Roman"/>
                <w:b/>
                <w:bCs/>
                <w:color w:val="000000"/>
                <w:sz w:val="20"/>
                <w:szCs w:val="20"/>
              </w:rPr>
              <w:t>.10</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65" w:history="1">
              <w:r>
                <w:rPr>
                  <w:rFonts w:ascii="Times New Roman" w:hAnsi="Times New Roman" w:cs="Times New Roman"/>
                  <w:color w:val="0000FF"/>
                  <w:sz w:val="20"/>
                  <w:szCs w:val="20"/>
                  <w:u w:val="single"/>
                </w:rPr>
                <w:t>26</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STEPHANIE LANNING v. STEPHANIE LANNING, NO. 08-3009 (Docket) (C.A.10 Jan. 14, 2008)</w:t>
            </w:r>
          </w:p>
        </w:tc>
      </w:tr>
    </w:tbl>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2016" w:right="1440" w:bottom="1800" w:left="1440" w:header="720" w:footer="720" w:gutter="0"/>
          <w:cols w:space="720"/>
          <w:noEndnote/>
        </w:sectPr>
      </w:pP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2016" w:right="1440" w:bottom="1800" w:left="1440" w:header="720" w:footer="720" w:gutter="0"/>
          <w:cols w:space="720"/>
          <w:noEndnote/>
        </w:sectPr>
      </w:pP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lastRenderedPageBreak/>
        <w:t>Westlaw Delivery Summary Report for KARLIN,JANIS M</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bl>
      <w:tblPr>
        <w:tblW w:w="0" w:type="auto"/>
        <w:tblLayout w:type="fixed"/>
        <w:tblCellMar>
          <w:left w:w="0" w:type="dxa"/>
          <w:right w:w="0" w:type="dxa"/>
        </w:tblCellMar>
        <w:tblLook w:val="0000"/>
      </w:tblPr>
      <w:tblGrid>
        <w:gridCol w:w="3780"/>
        <w:gridCol w:w="5339"/>
      </w:tblGrid>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Date/Time of Request:</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Monday, July 19, 2010 12:49 Central</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Client Identifier:</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LANNING</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Database:</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KEYCITE-HIST-IMG</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Citation Text:</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S.Ct. ----</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Service:</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KeyCite</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Lines:</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1</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Documents:</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1</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Images:</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1</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Recipient(s):</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kfaenza@fedbar.org</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jan.hamilton@topeka13trustee.com</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 judge_karlin@ksb.uscourts.gov</w:t>
            </w:r>
          </w:p>
        </w:tc>
      </w:tr>
    </w:tbl>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t>Ms. Faenza, this will be the first part of the materials, and we will let you know what other materials, if any, should be dissiminated for the bankruptcy presentation. Jan Karlin</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The material accompanying this summary is subject to copyright. Usage is go</w:t>
      </w:r>
      <w:r>
        <w:rPr>
          <w:rFonts w:ascii="Times New Roman" w:hAnsi="Times New Roman" w:cs="Times New Roman"/>
          <w:color w:val="000000"/>
          <w:sz w:val="20"/>
          <w:szCs w:val="20"/>
        </w:rPr>
        <w:t>verned by contract with Thomson Reuters, West and their affiliates.</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headerReference w:type="default" r:id="rId466"/>
          <w:footerReference w:type="default" r:id="rId467"/>
          <w:pgSz w:w="12240" w:h="15840"/>
          <w:pgMar w:top="2318" w:right="1080" w:bottom="1800" w:left="1080" w:header="720" w:footer="720" w:gutter="0"/>
          <w:cols w:space="720"/>
          <w:noEndnote/>
        </w:sect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headerReference w:type="default" r:id="rId468"/>
          <w:footerReference w:type="default" r:id="rId469"/>
          <w:pgSz w:w="12240" w:h="15840"/>
          <w:pgMar w:top="2520" w:right="1440" w:bottom="1800" w:left="1440" w:header="720" w:footer="720" w:gutter="0"/>
          <w:pgNumType w:start="1"/>
          <w:cols w:space="720"/>
          <w:noEndnote/>
        </w:sect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headerReference w:type="default" r:id="rId470"/>
          <w:footerReference w:type="default" r:id="rId471"/>
          <w:type w:val="continuous"/>
          <w:pgSz w:w="12240" w:h="15840"/>
          <w:pgMar w:top="2016" w:right="1440" w:bottom="1800" w:left="1440" w:header="720" w:footer="720" w:gutter="0"/>
          <w:cols w:space="720"/>
          <w:noEndnote/>
        </w:sectPr>
      </w:pPr>
    </w:p>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0"/>
          <w:szCs w:val="20"/>
        </w:rPr>
        <w:lastRenderedPageBreak/>
        <w:t>Date of Printing: Jul 19, 2010</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0"/>
          <w:szCs w:val="20"/>
        </w:rPr>
        <w:t>KEYCITE</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noProof/>
          <w:color w:val="0000FF"/>
          <w:sz w:val="20"/>
          <w:szCs w:val="20"/>
          <w:u w:val="single"/>
        </w:rPr>
        <w:drawing>
          <wp:inline distT="0" distB="0" distL="0" distR="0">
            <wp:extent cx="128905" cy="128905"/>
            <wp:effectExtent l="19050" t="0" r="4445" b="0"/>
            <wp:docPr id="30" name="Picture 30">
              <a:hlinkClick xmlns:a="http://schemas.openxmlformats.org/drawingml/2006/main" r:id="rId4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srcRect/>
                    <a:stretch>
                      <a:fillRect/>
                    </a:stretch>
                  </pic:blipFill>
                  <pic:spPr bwMode="auto">
                    <a:xfrm>
                      <a:off x="0" y="0"/>
                      <a:ext cx="12890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 xml:space="preserve"> </w:t>
      </w:r>
      <w:hyperlink r:id="rId472" w:history="1">
        <w:r>
          <w:rPr>
            <w:rFonts w:ascii="Times New Roman" w:hAnsi="Times New Roman" w:cs="Times New Roman"/>
            <w:b/>
            <w:bCs/>
            <w:color w:val="0000FF"/>
            <w:sz w:val="20"/>
            <w:szCs w:val="20"/>
            <w:u w:val="single"/>
          </w:rPr>
          <w:t>Hamilton v. Lanning,</w:t>
        </w:r>
      </w:hyperlink>
      <w:r>
        <w:rPr>
          <w:rFonts w:ascii="Times New Roman" w:hAnsi="Times New Roman" w:cs="Times New Roman"/>
          <w:b/>
          <w:bCs/>
          <w:color w:val="000000"/>
          <w:sz w:val="20"/>
          <w:szCs w:val="20"/>
        </w:rPr>
        <w:t xml:space="preserve"> --- S.Ct. ----, 2010 WL 2243704, 78 USLW 4518, Bankr. L. Rep. P 81,780, 10 Cal. Daily Op. Serv. 6973, 2010 Daily Journal D.A.R. 8299,</w:t>
      </w:r>
      <w:r>
        <w:rPr>
          <w:rFonts w:ascii="Times New Roman" w:hAnsi="Times New Roman" w:cs="Times New Roman"/>
          <w:b/>
          <w:bCs/>
          <w:color w:val="000000"/>
          <w:sz w:val="20"/>
          <w:szCs w:val="20"/>
        </w:rPr>
        <w:t xml:space="preserve"> 22 Fla. L. Weekly Fed. S 427 (U.S., Jun 07, 2010) (NO. 08-998)</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bookmarkStart w:id="69" w:name="Document1zzSDUNumber1"/>
      <w:bookmarkEnd w:id="69"/>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2016" w:right="1440" w:bottom="1800" w:left="1440" w:header="720" w:footer="720" w:gutter="0"/>
          <w:cols w:space="720"/>
          <w:noEndnote/>
        </w:sect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headerReference w:type="default" r:id="rId473"/>
          <w:footerReference w:type="default" r:id="rId474"/>
          <w:pgSz w:w="12240" w:h="15840"/>
          <w:pgMar w:top="2520" w:right="1440" w:bottom="1800" w:left="1440" w:header="720" w:footer="720" w:gutter="0"/>
          <w:cols w:space="720"/>
          <w:noEndnote/>
        </w:sect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headerReference w:type="default" r:id="rId475"/>
          <w:footerReference w:type="default" r:id="rId476"/>
          <w:type w:val="continuous"/>
          <w:pgSz w:w="12240" w:h="15840"/>
          <w:pgMar w:top="2016" w:right="1440" w:bottom="1800" w:left="1440" w:header="720" w:footer="720" w:gutter="0"/>
          <w:cols w:space="720"/>
          <w:noEndnote/>
        </w:sect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2016" w:right="1440" w:bottom="1800" w:left="1440" w:header="720" w:footer="720" w:gutter="0"/>
          <w:cols w:space="720"/>
          <w:noEndnote/>
        </w:sectPr>
      </w:pPr>
      <w:r>
        <w:rPr>
          <w:rFonts w:ascii="Times New Roman" w:hAnsi="Times New Roman" w:cs="Times New Roman"/>
          <w:color w:val="000000"/>
          <w:sz w:val="20"/>
          <w:szCs w:val="20"/>
        </w:rPr>
        <w:lastRenderedPageBreak/>
        <w:t xml:space="preserve"> </w:t>
      </w:r>
      <w:r>
        <w:rPr>
          <w:rFonts w:ascii="Times New Roman" w:hAnsi="Times New Roman" w:cs="Times New Roman"/>
          <w:noProof/>
          <w:color w:val="000000"/>
          <w:sz w:val="20"/>
          <w:szCs w:val="20"/>
        </w:rPr>
        <w:drawing>
          <wp:inline distT="0" distB="0" distL="0" distR="0">
            <wp:extent cx="3938905" cy="3938905"/>
            <wp:effectExtent l="19050" t="0" r="444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77"/>
                    <a:srcRect/>
                    <a:stretch>
                      <a:fillRect/>
                    </a:stretch>
                  </pic:blipFill>
                  <pic:spPr bwMode="auto">
                    <a:xfrm>
                      <a:off x="0" y="0"/>
                      <a:ext cx="3938905" cy="3938905"/>
                    </a:xfrm>
                    <a:prstGeom prst="rect">
                      <a:avLst/>
                    </a:prstGeom>
                    <a:noFill/>
                    <a:ln w="9525">
                      <a:noFill/>
                      <a:miter lim="800000"/>
                      <a:headEnd/>
                      <a:tailEnd/>
                    </a:ln>
                  </pic:spPr>
                </pic:pic>
              </a:graphicData>
            </a:graphic>
          </wp:inline>
        </w:drawing>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2016" w:right="1440" w:bottom="1800" w:left="1440" w:header="720" w:footer="720" w:gutter="0"/>
          <w:cols w:space="720"/>
          <w:noEndnote/>
        </w:sectPr>
      </w:pP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lastRenderedPageBreak/>
        <w:t>Westlaw Delivery Summary Report for KARLIN,JANIS M</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bl>
      <w:tblPr>
        <w:tblW w:w="0" w:type="auto"/>
        <w:tblLayout w:type="fixed"/>
        <w:tblCellMar>
          <w:left w:w="0" w:type="dxa"/>
          <w:right w:w="0" w:type="dxa"/>
        </w:tblCellMar>
        <w:tblLook w:val="0000"/>
      </w:tblPr>
      <w:tblGrid>
        <w:gridCol w:w="3780"/>
        <w:gridCol w:w="5339"/>
      </w:tblGrid>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Date/Time of Request:</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Monday, July 19, 2010 12:49 Central</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Client Identifier:</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LANNING</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Database:</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KEYCITE-REFS</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Citation </w:t>
            </w:r>
            <w:r>
              <w:rPr>
                <w:rFonts w:ascii="Times New Roman" w:hAnsi="Times New Roman" w:cs="Times New Roman"/>
                <w:color w:val="000000"/>
                <w:sz w:val="20"/>
                <w:szCs w:val="20"/>
              </w:rPr>
              <w:t>Text:</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S.Ct. ----</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Service:</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KeyCite</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Lines:</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66</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Documents:</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1</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Images:</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0</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Recipient(s):</w:t>
            </w: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kfaenza@fedbar.org</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jan.hamilton@topeka13trustee.com</w:t>
            </w:r>
          </w:p>
        </w:tc>
      </w:tr>
      <w:tr w:rsidR="00000000">
        <w:tblPrEx>
          <w:tblCellMar>
            <w:top w:w="0" w:type="dxa"/>
            <w:left w:w="0" w:type="dxa"/>
            <w:bottom w:w="0" w:type="dxa"/>
            <w:right w:w="0" w:type="dxa"/>
          </w:tblCellMar>
        </w:tblPrEx>
        <w:tc>
          <w:tcPr>
            <w:tcW w:w="37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5339"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 judge_karlin@ksb.uscourts.gov</w:t>
            </w:r>
          </w:p>
        </w:tc>
      </w:tr>
    </w:tbl>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t>Ms. Faenza, this will be the fi</w:t>
      </w:r>
      <w:r>
        <w:rPr>
          <w:rFonts w:ascii="Times New Roman" w:hAnsi="Times New Roman" w:cs="Times New Roman"/>
          <w:b/>
          <w:bCs/>
          <w:color w:val="000000"/>
          <w:sz w:val="20"/>
          <w:szCs w:val="20"/>
        </w:rPr>
        <w:t>rst part of the materials, and we will let you know what other materials, if any, should be dissiminated for the bankruptcy presentation. Jan Karlin</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The material accompanying this summary is subject to copyright. Usage is governed by contract with Thomson</w:t>
      </w:r>
      <w:r>
        <w:rPr>
          <w:rFonts w:ascii="Times New Roman" w:hAnsi="Times New Roman" w:cs="Times New Roman"/>
          <w:color w:val="000000"/>
          <w:sz w:val="20"/>
          <w:szCs w:val="20"/>
        </w:rPr>
        <w:t xml:space="preserve"> Reuters, West and their affiliates.</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headerReference w:type="default" r:id="rId478"/>
          <w:footerReference w:type="default" r:id="rId479"/>
          <w:pgSz w:w="12240" w:h="15840"/>
          <w:pgMar w:top="2318" w:right="1080" w:bottom="1800" w:left="1080" w:header="720" w:footer="720" w:gutter="0"/>
          <w:cols w:space="720"/>
          <w:noEndnote/>
        </w:sect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headerReference w:type="default" r:id="rId480"/>
          <w:footerReference w:type="default" r:id="rId481"/>
          <w:pgSz w:w="12240" w:h="15840"/>
          <w:pgMar w:top="2520" w:right="1440" w:bottom="1800" w:left="1440" w:header="720" w:footer="720" w:gutter="0"/>
          <w:pgNumType w:start="1"/>
          <w:cols w:space="720"/>
          <w:noEndnote/>
        </w:sect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headerReference w:type="default" r:id="rId482"/>
          <w:footerReference w:type="default" r:id="rId483"/>
          <w:type w:val="continuous"/>
          <w:pgSz w:w="12240" w:h="15840"/>
          <w:pgMar w:top="2016" w:right="1440" w:bottom="1800" w:left="1440" w:header="720" w:footer="720" w:gutter="0"/>
          <w:cols w:space="720"/>
          <w:noEndnote/>
        </w:sectPr>
      </w:pPr>
    </w:p>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0"/>
          <w:szCs w:val="20"/>
        </w:rPr>
        <w:lastRenderedPageBreak/>
        <w:t>Date of Printing: Jul 19, 2010</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0"/>
          <w:szCs w:val="20"/>
        </w:rPr>
        <w:t>KEYCITE</w:t>
      </w:r>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noProof/>
          <w:color w:val="0000FF"/>
          <w:sz w:val="20"/>
          <w:szCs w:val="20"/>
          <w:u w:val="single"/>
        </w:rPr>
        <w:drawing>
          <wp:inline distT="0" distB="0" distL="0" distR="0">
            <wp:extent cx="128905" cy="128905"/>
            <wp:effectExtent l="19050" t="0" r="4445" b="0"/>
            <wp:docPr id="34" name="Picture 34">
              <a:hlinkClick xmlns:a="http://schemas.openxmlformats.org/drawingml/2006/main" r:id="rId4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srcRect/>
                    <a:stretch>
                      <a:fillRect/>
                    </a:stretch>
                  </pic:blipFill>
                  <pic:spPr bwMode="auto">
                    <a:xfrm>
                      <a:off x="0" y="0"/>
                      <a:ext cx="12890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 xml:space="preserve"> </w:t>
      </w:r>
      <w:hyperlink r:id="rId484" w:history="1">
        <w:r>
          <w:rPr>
            <w:rFonts w:ascii="Times New Roman" w:hAnsi="Times New Roman" w:cs="Times New Roman"/>
            <w:b/>
            <w:bCs/>
            <w:color w:val="0000FF"/>
            <w:sz w:val="20"/>
            <w:szCs w:val="20"/>
            <w:u w:val="single"/>
          </w:rPr>
          <w:t>Hamilt</w:t>
        </w:r>
        <w:r>
          <w:rPr>
            <w:rFonts w:ascii="Times New Roman" w:hAnsi="Times New Roman" w:cs="Times New Roman"/>
            <w:b/>
            <w:bCs/>
            <w:color w:val="0000FF"/>
            <w:sz w:val="20"/>
            <w:szCs w:val="20"/>
            <w:u w:val="single"/>
          </w:rPr>
          <w:t>on v. Lanning,</w:t>
        </w:r>
      </w:hyperlink>
      <w:r>
        <w:rPr>
          <w:rFonts w:ascii="Times New Roman" w:hAnsi="Times New Roman" w:cs="Times New Roman"/>
          <w:b/>
          <w:bCs/>
          <w:color w:val="000000"/>
          <w:sz w:val="20"/>
          <w:szCs w:val="20"/>
        </w:rPr>
        <w:t xml:space="preserve"> --- S.Ct. ----, 2010 WL 2243704, 78 USLW 4518, Bankr. L. Rep. P 81,780, 10 Cal. Daily Op. Serv. 6973, 2010 Daily Journal D.A.R. 8299, 22 Fla. L. Weekly Fed. S 427 (U.S. Jun 07, 2010) (NO. 08-998)</w:t>
      </w:r>
    </w:p>
    <w:tbl>
      <w:tblPr>
        <w:tblW w:w="0" w:type="auto"/>
        <w:tblInd w:w="86" w:type="dxa"/>
        <w:tblLayout w:type="fixed"/>
        <w:tblCellMar>
          <w:left w:w="0" w:type="dxa"/>
          <w:right w:w="0" w:type="dxa"/>
        </w:tblCellMar>
        <w:tblLook w:val="0000"/>
      </w:tblPr>
      <w:tblGrid>
        <w:gridCol w:w="547"/>
        <w:gridCol w:w="662"/>
        <w:gridCol w:w="8151"/>
        <w:gridCol w:w="14"/>
      </w:tblGrid>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0"/>
                <w:szCs w:val="20"/>
              </w:rPr>
              <w:t>Citing References</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0"/>
                <w:szCs w:val="20"/>
              </w:rPr>
              <w:t>Positive Cases (U.S.A.)</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noProof/>
                <w:color w:val="000000"/>
                <w:sz w:val="20"/>
                <w:szCs w:val="20"/>
              </w:rPr>
              <w:drawing>
                <wp:inline distT="0" distB="0" distL="0" distR="0">
                  <wp:extent cx="128905" cy="128905"/>
                  <wp:effectExtent l="19050" t="0" r="444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85"/>
                          <a:srcRect/>
                          <a:stretch>
                            <a:fillRect/>
                          </a:stretch>
                        </pic:blipFill>
                        <pic:spPr bwMode="auto">
                          <a:xfrm>
                            <a:off x="0" y="0"/>
                            <a:ext cx="128905" cy="128905"/>
                          </a:xfrm>
                          <a:prstGeom prst="rect">
                            <a:avLst/>
                          </a:prstGeom>
                          <a:noFill/>
                          <a:ln w="9525">
                            <a:noFill/>
                            <a:miter lim="800000"/>
                            <a:headEnd/>
                            <a:tailEnd/>
                          </a:ln>
                        </pic:spPr>
                      </pic:pic>
                    </a:graphicData>
                  </a:graphic>
                </wp:inline>
              </w:drawing>
            </w:r>
            <w:r>
              <w:rPr>
                <w:rFonts w:ascii="Times New Roman" w:hAnsi="Times New Roman" w:cs="Times New Roman"/>
                <w:b/>
                <w:bCs/>
                <w:noProof/>
                <w:color w:val="000000"/>
                <w:sz w:val="20"/>
                <w:szCs w:val="20"/>
              </w:rPr>
              <w:drawing>
                <wp:inline distT="0" distB="0" distL="0" distR="0">
                  <wp:extent cx="128905" cy="128905"/>
                  <wp:effectExtent l="19050" t="0" r="444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85"/>
                          <a:srcRect/>
                          <a:stretch>
                            <a:fillRect/>
                          </a:stretch>
                        </pic:blipFill>
                        <pic:spPr bwMode="auto">
                          <a:xfrm>
                            <a:off x="0" y="0"/>
                            <a:ext cx="128905" cy="128905"/>
                          </a:xfrm>
                          <a:prstGeom prst="rect">
                            <a:avLst/>
                          </a:prstGeom>
                          <a:noFill/>
                          <a:ln w="9525">
                            <a:noFill/>
                            <a:miter lim="800000"/>
                            <a:headEnd/>
                            <a:tailEnd/>
                          </a:ln>
                        </pic:spPr>
                      </pic:pic>
                    </a:graphicData>
                  </a:graphic>
                </wp:inline>
              </w:drawing>
            </w:r>
            <w:r>
              <w:rPr>
                <w:rFonts w:ascii="Times New Roman" w:hAnsi="Times New Roman" w:cs="Times New Roman"/>
                <w:b/>
                <w:bCs/>
                <w:noProof/>
                <w:color w:val="000000"/>
                <w:sz w:val="20"/>
                <w:szCs w:val="20"/>
              </w:rPr>
              <w:drawing>
                <wp:inline distT="0" distB="0" distL="0" distR="0">
                  <wp:extent cx="128905" cy="128905"/>
                  <wp:effectExtent l="19050" t="0" r="444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5"/>
                          <a:srcRect/>
                          <a:stretch>
                            <a:fillRect/>
                          </a:stretch>
                        </pic:blipFill>
                        <pic:spPr bwMode="auto">
                          <a:xfrm>
                            <a:off x="0" y="0"/>
                            <a:ext cx="128905" cy="128905"/>
                          </a:xfrm>
                          <a:prstGeom prst="rect">
                            <a:avLst/>
                          </a:prstGeom>
                          <a:noFill/>
                          <a:ln w="9525">
                            <a:noFill/>
                            <a:miter lim="800000"/>
                            <a:headEnd/>
                            <a:tailEnd/>
                          </a:ln>
                        </pic:spPr>
                      </pic:pic>
                    </a:graphicData>
                  </a:graphic>
                </wp:inline>
              </w:drawing>
            </w:r>
            <w:r>
              <w:rPr>
                <w:rFonts w:ascii="Times New Roman" w:hAnsi="Times New Roman" w:cs="Times New Roman"/>
                <w:b/>
                <w:bCs/>
                <w:noProof/>
                <w:color w:val="000000"/>
                <w:sz w:val="20"/>
                <w:szCs w:val="20"/>
              </w:rPr>
              <w:drawing>
                <wp:inline distT="0" distB="0" distL="0" distR="0">
                  <wp:extent cx="128905" cy="128905"/>
                  <wp:effectExtent l="19050" t="0" r="444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85"/>
                          <a:srcRect/>
                          <a:stretch>
                            <a:fillRect/>
                          </a:stretch>
                        </pic:blipFill>
                        <pic:spPr bwMode="auto">
                          <a:xfrm>
                            <a:off x="0" y="0"/>
                            <a:ext cx="12890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 xml:space="preserve">    Examined</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86" w:history="1">
              <w:r>
                <w:rPr>
                  <w:rFonts w:ascii="Times New Roman" w:hAnsi="Times New Roman" w:cs="Times New Roman"/>
                  <w:color w:val="0000FF"/>
                  <w:sz w:val="20"/>
                  <w:szCs w:val="20"/>
                  <w:u w:val="single"/>
                </w:rPr>
                <w:t>1</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In re Collier, 2010 WL 2643542, *2+ (Bankr.M.D.Ala. Jun 29, 2010) (NO. BKR. 09-33187) </w:t>
            </w:r>
            <w:r>
              <w:rPr>
                <w:rFonts w:ascii="Times New Roman" w:hAnsi="Times New Roman" w:cs="Times New Roman"/>
                <w:b/>
                <w:bCs/>
                <w:color w:val="000000"/>
                <w:sz w:val="20"/>
                <w:szCs w:val="20"/>
              </w:rPr>
              <w:t>HN: 2,5,10 (S.Ct.)</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noProof/>
                <w:color w:val="000000"/>
                <w:sz w:val="20"/>
                <w:szCs w:val="20"/>
              </w:rPr>
              <w:drawing>
                <wp:inline distT="0" distB="0" distL="0" distR="0">
                  <wp:extent cx="128905" cy="128905"/>
                  <wp:effectExtent l="19050" t="0" r="444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85"/>
                          <a:srcRect/>
                          <a:stretch>
                            <a:fillRect/>
                          </a:stretch>
                        </pic:blipFill>
                        <pic:spPr bwMode="auto">
                          <a:xfrm>
                            <a:off x="0" y="0"/>
                            <a:ext cx="128905" cy="128905"/>
                          </a:xfrm>
                          <a:prstGeom prst="rect">
                            <a:avLst/>
                          </a:prstGeom>
                          <a:noFill/>
                          <a:ln w="9525">
                            <a:noFill/>
                            <a:miter lim="800000"/>
                            <a:headEnd/>
                            <a:tailEnd/>
                          </a:ln>
                        </pic:spPr>
                      </pic:pic>
                    </a:graphicData>
                  </a:graphic>
                </wp:inline>
              </w:drawing>
            </w:r>
            <w:r>
              <w:rPr>
                <w:rFonts w:ascii="Times New Roman" w:hAnsi="Times New Roman" w:cs="Times New Roman"/>
                <w:b/>
                <w:bCs/>
                <w:noProof/>
                <w:color w:val="000000"/>
                <w:sz w:val="20"/>
                <w:szCs w:val="20"/>
              </w:rPr>
              <w:drawing>
                <wp:inline distT="0" distB="0" distL="0" distR="0">
                  <wp:extent cx="128905" cy="128905"/>
                  <wp:effectExtent l="19050" t="0" r="444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85"/>
                          <a:srcRect/>
                          <a:stretch>
                            <a:fillRect/>
                          </a:stretch>
                        </pic:blipFill>
                        <pic:spPr bwMode="auto">
                          <a:xfrm>
                            <a:off x="0" y="0"/>
                            <a:ext cx="128905" cy="128905"/>
                          </a:xfrm>
                          <a:prstGeom prst="rect">
                            <a:avLst/>
                          </a:prstGeom>
                          <a:noFill/>
                          <a:ln w="9525">
                            <a:noFill/>
                            <a:miter lim="800000"/>
                            <a:headEnd/>
                            <a:tailEnd/>
                          </a:ln>
                        </pic:spPr>
                      </pic:pic>
                    </a:graphicData>
                  </a:graphic>
                </wp:inline>
              </w:drawing>
            </w:r>
            <w:r>
              <w:rPr>
                <w:rFonts w:ascii="Times New Roman" w:hAnsi="Times New Roman" w:cs="Times New Roman"/>
                <w:b/>
                <w:bCs/>
                <w:noProof/>
                <w:color w:val="000000"/>
                <w:sz w:val="20"/>
                <w:szCs w:val="20"/>
              </w:rPr>
              <w:drawing>
                <wp:inline distT="0" distB="0" distL="0" distR="0">
                  <wp:extent cx="128905" cy="128905"/>
                  <wp:effectExtent l="19050" t="0" r="444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5"/>
                          <a:srcRect/>
                          <a:stretch>
                            <a:fillRect/>
                          </a:stretch>
                        </pic:blipFill>
                        <pic:spPr bwMode="auto">
                          <a:xfrm>
                            <a:off x="0" y="0"/>
                            <a:ext cx="12890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 xml:space="preserve">    Discussed</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FF"/>
                <w:sz w:val="20"/>
                <w:szCs w:val="20"/>
                <w:u w:val="single"/>
              </w:rPr>
              <w:drawing>
                <wp:inline distT="0" distB="0" distL="0" distR="0">
                  <wp:extent cx="128905" cy="128905"/>
                  <wp:effectExtent l="19050" t="0" r="4445" b="0"/>
                  <wp:docPr id="42" name="Picture 42">
                    <a:hlinkClick xmlns:a="http://schemas.openxmlformats.org/drawingml/2006/main" r:id="rId4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a:srcRect/>
                          <a:stretch>
                            <a:fillRect/>
                          </a:stretch>
                        </pic:blipFill>
                        <pic:spPr bwMode="auto">
                          <a:xfrm>
                            <a:off x="0" y="0"/>
                            <a:ext cx="128905" cy="128905"/>
                          </a:xfrm>
                          <a:prstGeom prst="rect">
                            <a:avLst/>
                          </a:prstGeom>
                          <a:noFill/>
                          <a:ln w="9525">
                            <a:noFill/>
                            <a:miter lim="800000"/>
                            <a:headEnd/>
                            <a:tailEnd/>
                          </a:ln>
                        </pic:spPr>
                      </pic:pic>
                    </a:graphicData>
                  </a:graphic>
                </wp:inline>
              </w:drawing>
            </w: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88" w:history="1">
              <w:r>
                <w:rPr>
                  <w:rFonts w:ascii="Times New Roman" w:hAnsi="Times New Roman" w:cs="Times New Roman"/>
                  <w:color w:val="0000FF"/>
                  <w:sz w:val="20"/>
                  <w:szCs w:val="20"/>
                  <w:u w:val="single"/>
                </w:rPr>
                <w:t>2</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In re Johnson, 2010 WL 2594354, *1+ (7th Cir.(Ill.) Jun 21, 2010) (Table, te</w:t>
            </w:r>
            <w:r>
              <w:rPr>
                <w:rFonts w:ascii="Times New Roman" w:hAnsi="Times New Roman" w:cs="Times New Roman"/>
                <w:color w:val="000000"/>
                <w:sz w:val="20"/>
                <w:szCs w:val="20"/>
              </w:rPr>
              <w:t xml:space="preserve">xt in WESTLAW, NO. 09-1212) </w:t>
            </w:r>
            <w:r>
              <w:rPr>
                <w:rFonts w:ascii="Times New Roman" w:hAnsi="Times New Roman" w:cs="Times New Roman"/>
                <w:b/>
                <w:bCs/>
                <w:color w:val="000000"/>
                <w:sz w:val="20"/>
                <w:szCs w:val="20"/>
              </w:rPr>
              <w:t>HN: 5,10 (S.Ct.)</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89" w:history="1">
              <w:r>
                <w:rPr>
                  <w:rFonts w:ascii="Times New Roman" w:hAnsi="Times New Roman" w:cs="Times New Roman"/>
                  <w:color w:val="0000FF"/>
                  <w:sz w:val="20"/>
                  <w:szCs w:val="20"/>
                  <w:u w:val="single"/>
                </w:rPr>
                <w:t>3</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Hildebrand v. Wimberly, 2010 WL 2571977, *1+ (M.D.Tenn. Jun 21, 2010</w:t>
            </w:r>
            <w:r>
              <w:rPr>
                <w:rFonts w:ascii="Times New Roman" w:hAnsi="Times New Roman" w:cs="Times New Roman"/>
                <w:color w:val="000000"/>
                <w:sz w:val="20"/>
                <w:szCs w:val="20"/>
              </w:rPr>
              <w:t xml:space="preserve">) (NO. CIV. 2:09-0115) </w:t>
            </w:r>
            <w:r>
              <w:rPr>
                <w:rFonts w:ascii="Times New Roman" w:hAnsi="Times New Roman" w:cs="Times New Roman"/>
                <w:b/>
                <w:bCs/>
                <w:color w:val="000000"/>
                <w:sz w:val="20"/>
                <w:szCs w:val="20"/>
              </w:rPr>
              <w:t>HN: 5,10 (S.Ct.)</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90" w:history="1">
              <w:r>
                <w:rPr>
                  <w:rFonts w:ascii="Times New Roman" w:hAnsi="Times New Roman" w:cs="Times New Roman"/>
                  <w:color w:val="0000FF"/>
                  <w:sz w:val="20"/>
                  <w:szCs w:val="20"/>
                  <w:u w:val="single"/>
                </w:rPr>
                <w:t>4</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In re Wirth, 2010 WL 2639873, *4+ (Bankr.W.D.Wis. Jun 28, 2010) (NO. 09-12428-13) </w:t>
            </w:r>
            <w:r>
              <w:rPr>
                <w:rFonts w:ascii="Times New Roman" w:hAnsi="Times New Roman" w:cs="Times New Roman"/>
                <w:b/>
                <w:bCs/>
                <w:color w:val="000000"/>
                <w:sz w:val="20"/>
                <w:szCs w:val="20"/>
              </w:rPr>
              <w:t>HN: 4,5,10 (S.Ct.)</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noProof/>
                <w:color w:val="000000"/>
                <w:sz w:val="20"/>
                <w:szCs w:val="20"/>
              </w:rPr>
              <w:drawing>
                <wp:inline distT="0" distB="0" distL="0" distR="0">
                  <wp:extent cx="128905" cy="128905"/>
                  <wp:effectExtent l="19050" t="0" r="444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5"/>
                          <a:srcRect/>
                          <a:stretch>
                            <a:fillRect/>
                          </a:stretch>
                        </pic:blipFill>
                        <pic:spPr bwMode="auto">
                          <a:xfrm>
                            <a:off x="0" y="0"/>
                            <a:ext cx="128905" cy="128905"/>
                          </a:xfrm>
                          <a:prstGeom prst="rect">
                            <a:avLst/>
                          </a:prstGeom>
                          <a:noFill/>
                          <a:ln w="9525">
                            <a:noFill/>
                            <a:miter lim="800000"/>
                            <a:headEnd/>
                            <a:tailEnd/>
                          </a:ln>
                        </pic:spPr>
                      </pic:pic>
                    </a:graphicData>
                  </a:graphic>
                </wp:inline>
              </w:drawing>
            </w:r>
            <w:r>
              <w:rPr>
                <w:rFonts w:ascii="Times New Roman" w:hAnsi="Times New Roman" w:cs="Times New Roman"/>
                <w:b/>
                <w:bCs/>
                <w:noProof/>
                <w:color w:val="000000"/>
                <w:sz w:val="20"/>
                <w:szCs w:val="20"/>
              </w:rPr>
              <w:drawing>
                <wp:inline distT="0" distB="0" distL="0" distR="0">
                  <wp:extent cx="128905" cy="128905"/>
                  <wp:effectExtent l="19050" t="0" r="444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85"/>
                          <a:srcRect/>
                          <a:stretch>
                            <a:fillRect/>
                          </a:stretch>
                        </pic:blipFill>
                        <pic:spPr bwMode="auto">
                          <a:xfrm>
                            <a:off x="0" y="0"/>
                            <a:ext cx="128905" cy="12890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0"/>
                <w:szCs w:val="20"/>
              </w:rPr>
              <w:t xml:space="preserve">    Cited</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FF"/>
                <w:sz w:val="20"/>
                <w:szCs w:val="20"/>
                <w:u w:val="single"/>
              </w:rPr>
              <w:drawing>
                <wp:inline distT="0" distB="0" distL="0" distR="0">
                  <wp:extent cx="128905" cy="128905"/>
                  <wp:effectExtent l="19050" t="0" r="4445" b="0"/>
                  <wp:docPr id="45" name="Picture 45">
                    <a:hlinkClick xmlns:a="http://schemas.openxmlformats.org/drawingml/2006/main" r:id="rId4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a:srcRect/>
                          <a:stretch>
                            <a:fillRect/>
                          </a:stretch>
                        </pic:blipFill>
                        <pic:spPr bwMode="auto">
                          <a:xfrm>
                            <a:off x="0" y="0"/>
                            <a:ext cx="128905" cy="128905"/>
                          </a:xfrm>
                          <a:prstGeom prst="rect">
                            <a:avLst/>
                          </a:prstGeom>
                          <a:noFill/>
                          <a:ln w="9525">
                            <a:noFill/>
                            <a:miter lim="800000"/>
                            <a:headEnd/>
                            <a:tailEnd/>
                          </a:ln>
                        </pic:spPr>
                      </pic:pic>
                    </a:graphicData>
                  </a:graphic>
                </wp:inline>
              </w:drawing>
            </w: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92" w:history="1">
              <w:r>
                <w:rPr>
                  <w:rFonts w:ascii="Times New Roman" w:hAnsi="Times New Roman" w:cs="Times New Roman"/>
                  <w:color w:val="0000FF"/>
                  <w:sz w:val="20"/>
                  <w:szCs w:val="20"/>
                  <w:u w:val="single"/>
                </w:rPr>
                <w:t>5</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Torraco v. Port Authority of New York and New Jersey, 2010 WL 2595312, *13 (2nd Cir.(N.Y.) Jun 30, 2010) (NO. 08-1768-CV, 08-1895-CV) </w:t>
            </w:r>
            <w:r>
              <w:rPr>
                <w:rFonts w:ascii="Times New Roman" w:hAnsi="Times New Roman" w:cs="Times New Roman"/>
                <w:b/>
                <w:bCs/>
                <w:color w:val="000000"/>
                <w:sz w:val="20"/>
                <w:szCs w:val="20"/>
              </w:rPr>
              <w:t xml:space="preserve">HN: </w:t>
            </w:r>
            <w:r>
              <w:rPr>
                <w:rFonts w:ascii="Times New Roman" w:hAnsi="Times New Roman" w:cs="Times New Roman"/>
                <w:b/>
                <w:bCs/>
                <w:color w:val="000000"/>
                <w:sz w:val="20"/>
                <w:szCs w:val="20"/>
              </w:rPr>
              <w:t>4 (S.Ct.)</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93" w:history="1">
              <w:r>
                <w:rPr>
                  <w:rFonts w:ascii="Times New Roman" w:hAnsi="Times New Roman" w:cs="Times New Roman"/>
                  <w:color w:val="0000FF"/>
                  <w:sz w:val="20"/>
                  <w:szCs w:val="20"/>
                  <w:u w:val="single"/>
                </w:rPr>
                <w:t>6</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In re Westing, 2010 WL 2774829, *1 (Bankr.D.Idaho Jul 13, 2010) (NO. 09-03594-TLM)</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94" w:history="1">
              <w:r>
                <w:rPr>
                  <w:rFonts w:ascii="Times New Roman" w:hAnsi="Times New Roman" w:cs="Times New Roman"/>
                  <w:color w:val="0000FF"/>
                  <w:sz w:val="20"/>
                  <w:szCs w:val="20"/>
                  <w:u w:val="single"/>
                </w:rPr>
                <w:t>7</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In re Turner, 2010 WL 2509966, *3+ (Bankr.D.Mass. Jun 17, 2010) (NO. 09-18816-WCH) </w:t>
            </w:r>
            <w:r>
              <w:rPr>
                <w:rFonts w:ascii="Times New Roman" w:hAnsi="Times New Roman" w:cs="Times New Roman"/>
                <w:b/>
                <w:bCs/>
                <w:color w:val="000000"/>
                <w:sz w:val="20"/>
                <w:szCs w:val="20"/>
              </w:rPr>
              <w:t>HN: 3 (S.Ct.)</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FF"/>
                <w:sz w:val="20"/>
                <w:szCs w:val="20"/>
                <w:u w:val="single"/>
              </w:rPr>
              <w:drawing>
                <wp:inline distT="0" distB="0" distL="0" distR="0">
                  <wp:extent cx="128905" cy="128905"/>
                  <wp:effectExtent l="19050" t="0" r="4445" b="0"/>
                  <wp:docPr id="46" name="Picture 46">
                    <a:hlinkClick xmlns:a="http://schemas.openxmlformats.org/drawingml/2006/main" r:id="rId49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a:srcRect/>
                          <a:stretch>
                            <a:fillRect/>
                          </a:stretch>
                        </pic:blipFill>
                        <pic:spPr bwMode="auto">
                          <a:xfrm>
                            <a:off x="0" y="0"/>
                            <a:ext cx="128905" cy="128905"/>
                          </a:xfrm>
                          <a:prstGeom prst="rect">
                            <a:avLst/>
                          </a:prstGeom>
                          <a:noFill/>
                          <a:ln w="9525">
                            <a:noFill/>
                            <a:miter lim="800000"/>
                            <a:headEnd/>
                            <a:tailEnd/>
                          </a:ln>
                        </pic:spPr>
                      </pic:pic>
                    </a:graphicData>
                  </a:graphic>
                </wp:inline>
              </w:drawing>
            </w: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96" w:history="1">
              <w:r>
                <w:rPr>
                  <w:rFonts w:ascii="Times New Roman" w:hAnsi="Times New Roman" w:cs="Times New Roman"/>
                  <w:color w:val="0000FF"/>
                  <w:sz w:val="20"/>
                  <w:szCs w:val="20"/>
                  <w:u w:val="single"/>
                </w:rPr>
                <w:t>8</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In re Cyberco Holdings, Inc., 2010 WL 2720794, *11 (Bankr.W.D.Mich. Jul 02, 2010) (NO. HG 04-14905, HG 05-00690) </w:t>
            </w:r>
            <w:r>
              <w:rPr>
                <w:rFonts w:ascii="Times New Roman" w:hAnsi="Times New Roman" w:cs="Times New Roman"/>
                <w:b/>
                <w:bCs/>
                <w:color w:val="000000"/>
                <w:sz w:val="20"/>
                <w:szCs w:val="20"/>
              </w:rPr>
              <w:t>HN</w:t>
            </w:r>
            <w:r>
              <w:rPr>
                <w:rFonts w:ascii="Times New Roman" w:hAnsi="Times New Roman" w:cs="Times New Roman"/>
                <w:b/>
                <w:bCs/>
                <w:color w:val="000000"/>
                <w:sz w:val="20"/>
                <w:szCs w:val="20"/>
              </w:rPr>
              <w:t>: 8 (S.Ct.)</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FF"/>
                <w:sz w:val="20"/>
                <w:szCs w:val="20"/>
                <w:u w:val="single"/>
              </w:rPr>
              <w:drawing>
                <wp:inline distT="0" distB="0" distL="0" distR="0">
                  <wp:extent cx="128905" cy="128905"/>
                  <wp:effectExtent l="19050" t="0" r="4445" b="0"/>
                  <wp:docPr id="47" name="Picture 47">
                    <a:hlinkClick xmlns:a="http://schemas.openxmlformats.org/drawingml/2006/main" r:id="rId49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98"/>
                          <a:srcRect/>
                          <a:stretch>
                            <a:fillRect/>
                          </a:stretch>
                        </pic:blipFill>
                        <pic:spPr bwMode="auto">
                          <a:xfrm>
                            <a:off x="0" y="0"/>
                            <a:ext cx="128905" cy="128905"/>
                          </a:xfrm>
                          <a:prstGeom prst="rect">
                            <a:avLst/>
                          </a:prstGeom>
                          <a:noFill/>
                          <a:ln w="9525">
                            <a:noFill/>
                            <a:miter lim="800000"/>
                            <a:headEnd/>
                            <a:tailEnd/>
                          </a:ln>
                        </pic:spPr>
                      </pic:pic>
                    </a:graphicData>
                  </a:graphic>
                </wp:inline>
              </w:drawing>
            </w: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499" w:history="1">
              <w:r>
                <w:rPr>
                  <w:rFonts w:ascii="Times New Roman" w:hAnsi="Times New Roman" w:cs="Times New Roman"/>
                  <w:color w:val="0000FF"/>
                  <w:sz w:val="20"/>
                  <w:szCs w:val="20"/>
                  <w:u w:val="single"/>
                </w:rPr>
                <w:t>9</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In re Green, 2010 WL 2521077, *5 (Bankr.S.D.Ohio Jun 22, 2010) (NO. 09-36078) </w:t>
            </w:r>
            <w:r>
              <w:rPr>
                <w:rFonts w:ascii="Times New Roman" w:hAnsi="Times New Roman" w:cs="Times New Roman"/>
                <w:b/>
                <w:bCs/>
                <w:color w:val="000000"/>
                <w:sz w:val="20"/>
                <w:szCs w:val="20"/>
              </w:rPr>
              <w:t>HN: 4 (S.Ct.)</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FF"/>
                <w:sz w:val="20"/>
                <w:szCs w:val="20"/>
                <w:u w:val="single"/>
              </w:rPr>
              <w:drawing>
                <wp:inline distT="0" distB="0" distL="0" distR="0">
                  <wp:extent cx="128905" cy="128905"/>
                  <wp:effectExtent l="19050" t="0" r="4445" b="0"/>
                  <wp:docPr id="48" name="Picture 48">
                    <a:hlinkClick xmlns:a="http://schemas.openxmlformats.org/drawingml/2006/main" r:id="rId50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98"/>
                          <a:srcRect/>
                          <a:stretch>
                            <a:fillRect/>
                          </a:stretch>
                        </pic:blipFill>
                        <pic:spPr bwMode="auto">
                          <a:xfrm>
                            <a:off x="0" y="0"/>
                            <a:ext cx="128905" cy="128905"/>
                          </a:xfrm>
                          <a:prstGeom prst="rect">
                            <a:avLst/>
                          </a:prstGeom>
                          <a:noFill/>
                          <a:ln w="9525">
                            <a:noFill/>
                            <a:miter lim="800000"/>
                            <a:headEnd/>
                            <a:tailEnd/>
                          </a:ln>
                        </pic:spPr>
                      </pic:pic>
                    </a:graphicData>
                  </a:graphic>
                </wp:inline>
              </w:drawing>
            </w: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501" w:history="1">
              <w:r>
                <w:rPr>
                  <w:rFonts w:ascii="Times New Roman" w:hAnsi="Times New Roman" w:cs="Times New Roman"/>
                  <w:color w:val="0000FF"/>
                  <w:sz w:val="20"/>
                  <w:szCs w:val="20"/>
                  <w:u w:val="single"/>
                </w:rPr>
                <w:t>10</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In re Stubblefield, --- B.R. ----, 2010 WL 2521342, *7 (Bankr.D.Or. Jun 21,</w:t>
            </w:r>
            <w:r>
              <w:rPr>
                <w:rFonts w:ascii="Times New Roman" w:hAnsi="Times New Roman" w:cs="Times New Roman"/>
                <w:color w:val="000000"/>
                <w:sz w:val="20"/>
                <w:szCs w:val="20"/>
              </w:rPr>
              <w:t xml:space="preserve"> 2010) (NO. 09-38572-RLD7)</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502" w:history="1">
              <w:r>
                <w:rPr>
                  <w:rFonts w:ascii="Times New Roman" w:hAnsi="Times New Roman" w:cs="Times New Roman"/>
                  <w:color w:val="0000FF"/>
                  <w:sz w:val="20"/>
                  <w:szCs w:val="20"/>
                  <w:u w:val="single"/>
                </w:rPr>
                <w:t>11</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In re Veblen West Dairy LLP, 2010 WL 2736641, *2 (Bankr.D.S.D. Jul 09, 2010) (NO. BANKR. 10-10071) </w:t>
            </w:r>
            <w:r>
              <w:rPr>
                <w:rFonts w:ascii="Times New Roman" w:hAnsi="Times New Roman" w:cs="Times New Roman"/>
                <w:b/>
                <w:bCs/>
                <w:color w:val="000000"/>
                <w:sz w:val="20"/>
                <w:szCs w:val="20"/>
              </w:rPr>
              <w:t>HN: 6 (S.Ct.)</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0"/>
                <w:szCs w:val="20"/>
              </w:rPr>
              <w:t>Secondary Sources (U.S.A.)</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FF"/>
                <w:sz w:val="20"/>
                <w:szCs w:val="20"/>
                <w:u w:val="single"/>
              </w:rPr>
              <w:drawing>
                <wp:inline distT="0" distB="0" distL="0" distR="0">
                  <wp:extent cx="128905" cy="128905"/>
                  <wp:effectExtent l="19050" t="0" r="4445" b="0"/>
                  <wp:docPr id="49" name="Picture 49">
                    <a:hlinkClick xmlns:a="http://schemas.openxmlformats.org/drawingml/2006/main" r:id="rId5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98"/>
                          <a:srcRect/>
                          <a:stretch>
                            <a:fillRect/>
                          </a:stretch>
                        </pic:blipFill>
                        <pic:spPr bwMode="auto">
                          <a:xfrm>
                            <a:off x="0" y="0"/>
                            <a:ext cx="128905" cy="128905"/>
                          </a:xfrm>
                          <a:prstGeom prst="rect">
                            <a:avLst/>
                          </a:prstGeom>
                          <a:noFill/>
                          <a:ln w="9525">
                            <a:noFill/>
                            <a:miter lim="800000"/>
                            <a:headEnd/>
                            <a:tailEnd/>
                          </a:ln>
                        </pic:spPr>
                      </pic:pic>
                    </a:graphicData>
                  </a:graphic>
                </wp:inline>
              </w:drawing>
            </w: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504" w:history="1">
              <w:r>
                <w:rPr>
                  <w:rFonts w:ascii="Times New Roman" w:hAnsi="Times New Roman" w:cs="Times New Roman"/>
                  <w:color w:val="0000FF"/>
                  <w:sz w:val="20"/>
                  <w:szCs w:val="20"/>
                  <w:u w:val="single"/>
                </w:rPr>
                <w:t>12</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What constitutes "disposable income' under sec. 1325(b) of Bankru</w:t>
            </w:r>
            <w:r>
              <w:rPr>
                <w:rFonts w:ascii="Times New Roman" w:hAnsi="Times New Roman" w:cs="Times New Roman"/>
                <w:color w:val="000000"/>
                <w:sz w:val="20"/>
                <w:szCs w:val="20"/>
              </w:rPr>
              <w:t xml:space="preserve">ptcy Code of 1978 (11 U.S.C.A. </w:t>
            </w:r>
            <w:r>
              <w:rPr>
                <w:rFonts w:ascii="Times New Roman" w:hAnsi="Times New Roman" w:cs="Times New Roman"/>
                <w:color w:val="000000"/>
                <w:sz w:val="20"/>
                <w:szCs w:val="20"/>
              </w:rPr>
              <w:lastRenderedPageBreak/>
              <w:t>sec. 1325(b)), providing that all disposable income for specified period must be applied to plan for payment of creditors, 138 A.L.R. Fed. 547 (1997)</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505" w:history="1">
              <w:r>
                <w:rPr>
                  <w:rFonts w:ascii="Times New Roman" w:hAnsi="Times New Roman" w:cs="Times New Roman"/>
                  <w:color w:val="0000FF"/>
                  <w:sz w:val="20"/>
                  <w:szCs w:val="20"/>
                  <w:u w:val="single"/>
                </w:rPr>
                <w:t>13</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 xml:space="preserve">Bankruptcy Exemption Manual s 2:2, Property of the bankruptcy estate in reorganization Chapters 11, 12, and 13 (2010) </w:t>
            </w:r>
            <w:r>
              <w:rPr>
                <w:rFonts w:ascii="Times New Roman" w:hAnsi="Times New Roman" w:cs="Times New Roman"/>
                <w:b/>
                <w:bCs/>
                <w:color w:val="000000"/>
                <w:sz w:val="20"/>
                <w:szCs w:val="20"/>
              </w:rPr>
              <w:t>HN: 10 (S.Ct.)</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506" w:history="1">
              <w:r>
                <w:rPr>
                  <w:rFonts w:ascii="Times New Roman" w:hAnsi="Times New Roman" w:cs="Times New Roman"/>
                  <w:color w:val="0000FF"/>
                  <w:sz w:val="20"/>
                  <w:szCs w:val="20"/>
                  <w:u w:val="single"/>
                </w:rPr>
                <w:t>14</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2010 Bankruptcy Service Current Awareness Alert 4, an 8-1 decision, the Supreme Court rejects the "mechanical approach" to determining a Chapter 13 debtor's "projecte</w:t>
            </w:r>
            <w:r>
              <w:rPr>
                <w:rFonts w:ascii="Times New Roman" w:hAnsi="Times New Roman" w:cs="Times New Roman"/>
                <w:color w:val="000000"/>
                <w:sz w:val="20"/>
                <w:szCs w:val="20"/>
              </w:rPr>
              <w:t>d disposable income" and i</w:t>
            </w:r>
            <w:r>
              <w:rPr>
                <w:rFonts w:ascii="Times New Roman" w:hAnsi="Times New Roman" w:cs="Times New Roman"/>
                <w:color w:val="000000"/>
                <w:sz w:val="20"/>
                <w:szCs w:val="20"/>
              </w:rPr>
              <w:t>n</w:t>
            </w:r>
            <w:r>
              <w:rPr>
                <w:rFonts w:ascii="Times New Roman" w:hAnsi="Times New Roman" w:cs="Times New Roman"/>
                <w:color w:val="000000"/>
                <w:sz w:val="20"/>
                <w:szCs w:val="20"/>
              </w:rPr>
              <w:t>stead adopts a "forward-looking approach" (2010)</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507" w:history="1">
              <w:r>
                <w:rPr>
                  <w:rFonts w:ascii="Times New Roman" w:hAnsi="Times New Roman" w:cs="Times New Roman"/>
                  <w:color w:val="0000FF"/>
                  <w:sz w:val="20"/>
                  <w:szCs w:val="20"/>
                  <w:u w:val="single"/>
                </w:rPr>
                <w:t>15</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Review of Cases Decided This Term, 0</w:t>
            </w:r>
            <w:r>
              <w:rPr>
                <w:rFonts w:ascii="Times New Roman" w:hAnsi="Times New Roman" w:cs="Times New Roman"/>
                <w:color w:val="000000"/>
                <w:sz w:val="20"/>
                <w:szCs w:val="20"/>
              </w:rPr>
              <w:t xml:space="preserve">6-29-2010 United States Supreme Court Actions 48 (2010) </w:t>
            </w:r>
            <w:r>
              <w:rPr>
                <w:rFonts w:ascii="Times New Roman" w:hAnsi="Times New Roman" w:cs="Times New Roman"/>
                <w:b/>
                <w:bCs/>
                <w:color w:val="000000"/>
                <w:sz w:val="20"/>
                <w:szCs w:val="20"/>
              </w:rPr>
              <w:t>HN: 5,10 (S.Ct.)</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508" w:history="1">
              <w:r>
                <w:rPr>
                  <w:rFonts w:ascii="Times New Roman" w:hAnsi="Times New Roman" w:cs="Times New Roman"/>
                  <w:color w:val="0000FF"/>
                  <w:sz w:val="20"/>
                  <w:szCs w:val="20"/>
                  <w:u w:val="single"/>
                </w:rPr>
                <w:t>16</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"Projected Disposable Income" Is Forwar</w:t>
            </w:r>
            <w:r>
              <w:rPr>
                <w:rFonts w:ascii="Times New Roman" w:hAnsi="Times New Roman" w:cs="Times New Roman"/>
                <w:color w:val="000000"/>
                <w:sz w:val="20"/>
                <w:szCs w:val="20"/>
              </w:rPr>
              <w:t xml:space="preserve">d-Looking, 06-16-10 West's Bankruptcy Newsletter 2 (2010) </w:t>
            </w:r>
            <w:r>
              <w:rPr>
                <w:rFonts w:ascii="Times New Roman" w:hAnsi="Times New Roman" w:cs="Times New Roman"/>
                <w:b/>
                <w:bCs/>
                <w:color w:val="000000"/>
                <w:sz w:val="20"/>
                <w:szCs w:val="20"/>
              </w:rPr>
              <w:t>HN: 5 (S.Ct.)</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0"/>
                <w:szCs w:val="20"/>
              </w:rPr>
              <w:t>Andrews Litigation Reporters (U.S.A.)</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509" w:history="1">
              <w:r>
                <w:rPr>
                  <w:rFonts w:ascii="Times New Roman" w:hAnsi="Times New Roman" w:cs="Times New Roman"/>
                  <w:color w:val="0000FF"/>
                  <w:sz w:val="20"/>
                  <w:szCs w:val="20"/>
                  <w:u w:val="single"/>
                </w:rPr>
                <w:t>17</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07 Westlaw Journal Bankruptcy 2, JUDGES MAY DEVIATE FROM INCOME FORMULA, HIGH COURT SAYS (2010)</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0"/>
                <w:szCs w:val="20"/>
              </w:rPr>
              <w:t>Court Documents</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0"/>
                <w:szCs w:val="20"/>
              </w:rPr>
              <w:t>Appellate Court Documents (U.S.A.)</w:t>
            </w: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r>
      <w:tr w:rsidR="00000000">
        <w:tblPrEx>
          <w:tblCellMar>
            <w:top w:w="0" w:type="dxa"/>
            <w:left w:w="0" w:type="dxa"/>
            <w:bottom w:w="0" w:type="dxa"/>
            <w:right w:w="0" w:type="dxa"/>
          </w:tblCellMar>
        </w:tblPrEx>
        <w:trPr>
          <w:gridAfter w:val="1"/>
          <w:wAfter w:w="14" w:type="dxa"/>
        </w:trPr>
        <w:tc>
          <w:tcPr>
            <w:tcW w:w="9360" w:type="dxa"/>
            <w:gridSpan w:val="3"/>
            <w:tcBorders>
              <w:top w:val="nil"/>
              <w:left w:val="nil"/>
              <w:bottom w:val="nil"/>
              <w:right w:val="nil"/>
            </w:tcBorders>
            <w:tcMar>
              <w:top w:w="86" w:type="dxa"/>
              <w:left w:w="86" w:type="dxa"/>
              <w:bottom w:w="86" w:type="dxa"/>
              <w:right w:w="86"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0"/>
                <w:szCs w:val="20"/>
              </w:rPr>
              <w:t>Appellate Briefs</w:t>
            </w:r>
          </w:p>
        </w:tc>
      </w:tr>
      <w:tr w:rsidR="00000000">
        <w:tblPrEx>
          <w:tblCellMar>
            <w:top w:w="0" w:type="dxa"/>
            <w:left w:w="0" w:type="dxa"/>
            <w:bottom w:w="0" w:type="dxa"/>
            <w:right w:w="0" w:type="dxa"/>
          </w:tblCellMar>
        </w:tblPrEx>
        <w:tc>
          <w:tcPr>
            <w:tcW w:w="547"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tc>
        <w:tc>
          <w:tcPr>
            <w:tcW w:w="662" w:type="dxa"/>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jc w:val="right"/>
              <w:rPr>
                <w:rFonts w:ascii="Times New Roman" w:hAnsi="Times New Roman" w:cs="Times New Roman"/>
                <w:color w:val="000000"/>
                <w:sz w:val="24"/>
                <w:szCs w:val="24"/>
              </w:rPr>
            </w:pPr>
            <w:hyperlink r:id="rId510" w:history="1">
              <w:r>
                <w:rPr>
                  <w:rFonts w:ascii="Times New Roman" w:hAnsi="Times New Roman" w:cs="Times New Roman"/>
                  <w:color w:val="0000FF"/>
                  <w:sz w:val="20"/>
                  <w:szCs w:val="20"/>
                  <w:u w:val="single"/>
                </w:rPr>
                <w:t>18</w:t>
              </w:r>
            </w:hyperlink>
          </w:p>
        </w:tc>
        <w:tc>
          <w:tcPr>
            <w:tcW w:w="8165" w:type="dxa"/>
            <w:gridSpan w:val="2"/>
            <w:tcBorders>
              <w:top w:val="nil"/>
              <w:left w:val="nil"/>
              <w:bottom w:val="nil"/>
              <w:right w:val="nil"/>
            </w:tcBorders>
            <w:tcMar>
              <w:top w:w="28" w:type="dxa"/>
              <w:left w:w="28" w:type="dxa"/>
              <w:bottom w:w="28" w:type="dxa"/>
              <w:right w:w="28" w:type="dxa"/>
            </w:tcMar>
          </w:tcPr>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0"/>
                <w:szCs w:val="20"/>
              </w:rPr>
              <w:t>Kevin William HARMAN and Rosalind Mary Harman, Appellants, v. Richard v. FINK, Trustee, Appellee., 2010 WL 2665157</w:t>
            </w:r>
            <w:r>
              <w:rPr>
                <w:rFonts w:ascii="Times New Roman" w:hAnsi="Times New Roman" w:cs="Times New Roman"/>
                <w:color w:val="000000"/>
                <w:sz w:val="20"/>
                <w:szCs w:val="20"/>
              </w:rPr>
              <w:t>, *2665157+ (Appellate Brief) (8th Cir. Jun 21, 2010)</w:t>
            </w:r>
            <w:r>
              <w:rPr>
                <w:rFonts w:ascii="Times New Roman" w:hAnsi="Times New Roman" w:cs="Times New Roman"/>
                <w:b/>
                <w:bCs/>
                <w:color w:val="000000"/>
                <w:sz w:val="20"/>
                <w:szCs w:val="20"/>
              </w:rPr>
              <w:t xml:space="preserve"> Appellants' Reply Brief</w:t>
            </w:r>
            <w:r>
              <w:rPr>
                <w:rFonts w:ascii="Times New Roman" w:hAnsi="Times New Roman" w:cs="Times New Roman"/>
                <w:color w:val="000000"/>
                <w:sz w:val="20"/>
                <w:szCs w:val="20"/>
              </w:rPr>
              <w:t xml:space="preserve"> (NO. 10-6025) </w:t>
            </w:r>
            <w:r>
              <w:rPr>
                <w:rFonts w:ascii="Times New Roman" w:hAnsi="Times New Roman" w:cs="Times New Roman"/>
                <w:noProof/>
                <w:color w:val="000000"/>
                <w:sz w:val="20"/>
                <w:szCs w:val="20"/>
              </w:rPr>
              <w:drawing>
                <wp:inline distT="0" distB="0" distL="0" distR="0">
                  <wp:extent cx="128905" cy="128905"/>
                  <wp:effectExtent l="19050" t="0" r="444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11"/>
                          <a:srcRect/>
                          <a:stretch>
                            <a:fillRect/>
                          </a:stretch>
                        </pic:blipFill>
                        <pic:spPr bwMode="auto">
                          <a:xfrm>
                            <a:off x="0" y="0"/>
                            <a:ext cx="128905" cy="128905"/>
                          </a:xfrm>
                          <a:prstGeom prst="rect">
                            <a:avLst/>
                          </a:prstGeom>
                          <a:noFill/>
                          <a:ln w="9525">
                            <a:noFill/>
                            <a:miter lim="800000"/>
                            <a:headEnd/>
                            <a:tailEnd/>
                          </a:ln>
                        </pic:spPr>
                      </pic:pic>
                    </a:graphicData>
                  </a:graphic>
                </wp:inline>
              </w:drawing>
            </w:r>
            <w:r>
              <w:rPr>
                <w:rFonts w:ascii="Times New Roman" w:hAnsi="Times New Roman" w:cs="Times New Roman"/>
                <w:noProof/>
                <w:color w:val="000000"/>
                <w:sz w:val="20"/>
                <w:szCs w:val="20"/>
              </w:rPr>
              <w:drawing>
                <wp:inline distT="0" distB="0" distL="0" distR="0">
                  <wp:extent cx="128905" cy="128905"/>
                  <wp:effectExtent l="19050" t="0" r="444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11"/>
                          <a:srcRect/>
                          <a:stretch>
                            <a:fillRect/>
                          </a:stretch>
                        </pic:blipFill>
                        <pic:spPr bwMode="auto">
                          <a:xfrm>
                            <a:off x="0" y="0"/>
                            <a:ext cx="128905" cy="128905"/>
                          </a:xfrm>
                          <a:prstGeom prst="rect">
                            <a:avLst/>
                          </a:prstGeom>
                          <a:noFill/>
                          <a:ln w="9525">
                            <a:noFill/>
                            <a:miter lim="800000"/>
                            <a:headEnd/>
                            <a:tailEnd/>
                          </a:ln>
                        </pic:spPr>
                      </pic:pic>
                    </a:graphicData>
                  </a:graphic>
                </wp:inline>
              </w:drawing>
            </w:r>
          </w:p>
        </w:tc>
      </w:tr>
    </w:tbl>
    <w:p w:rsidR="00000000" w:rsidRDefault="00A57363">
      <w:pP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2016" w:right="1440" w:bottom="1800" w:left="1440" w:header="720" w:footer="720" w:gutter="0"/>
          <w:cols w:space="720"/>
          <w:noEndnote/>
        </w:sectPr>
      </w:pPr>
      <w:bookmarkStart w:id="70" w:name="last-page"/>
      <w:bookmarkEnd w:id="70"/>
    </w:p>
    <w:p w:rsidR="00000000" w:rsidRDefault="00A57363">
      <w:pPr>
        <w:widowControl w:val="0"/>
        <w:autoSpaceDE w:val="0"/>
        <w:autoSpaceDN w:val="0"/>
        <w:adjustRightInd w:val="0"/>
        <w:spacing w:after="0" w:line="240" w:lineRule="auto"/>
        <w:rPr>
          <w:rFonts w:ascii="Times New Roman" w:hAnsi="Times New Roman" w:cs="Times New Roman"/>
          <w:color w:val="000000"/>
          <w:sz w:val="24"/>
          <w:szCs w:val="24"/>
        </w:rPr>
      </w:pPr>
    </w:p>
    <w:p w:rsidR="00000000" w:rsidRDefault="00A57363">
      <w:pPr>
        <w:widowControl w:val="0"/>
        <w:autoSpaceDE w:val="0"/>
        <w:autoSpaceDN w:val="0"/>
        <w:adjustRightInd w:val="0"/>
        <w:spacing w:after="0" w:line="240" w:lineRule="auto"/>
        <w:rPr>
          <w:rFonts w:ascii="Times New Roman" w:hAnsi="Times New Roman" w:cs="Times New Roman"/>
          <w:sz w:val="24"/>
          <w:szCs w:val="24"/>
        </w:rPr>
      </w:pPr>
    </w:p>
    <w:sectPr w:rsidR="00000000">
      <w:type w:val="continuous"/>
      <w:pgSz w:w="12240" w:h="15840"/>
      <w:pgMar w:top="2016" w:right="1440" w:bottom="180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A57363" w:rsidP="00952285">
      <w:pPr>
        <w:spacing w:after="0" w:line="240" w:lineRule="auto"/>
      </w:pPr>
      <w:r>
        <w:separator/>
      </w:r>
    </w:p>
  </w:endnote>
  <w:endnote w:type="continuationSeparator" w:id="0">
    <w:p w:rsidR="00000000" w:rsidRDefault="00A57363" w:rsidP="009522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rPr>
        <w:rFonts w:ascii="Times New Roman" w:hAnsi="Times New Roman" w:cs="Times New Roman"/>
        <w:sz w:val="24"/>
        <w:szCs w:val="24"/>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rPr>
        <w:rFonts w:ascii="Times New Roman" w:hAnsi="Times New Roman" w:cs="Times New Roman"/>
        <w:sz w:val="24"/>
        <w:szCs w:val="24"/>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rPr>
        <w:rFonts w:ascii="Times New Roman" w:hAnsi="Times New Roman" w:cs="Times New Roman"/>
        <w:sz w:val="24"/>
        <w:szCs w:val="24"/>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rPr>
        <w:rFonts w:ascii="Times New Roman" w:hAnsi="Times New Roman" w:cs="Times New Roman"/>
        <w:sz w:val="24"/>
        <w:szCs w:val="24"/>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jc w:val="center"/>
      <w:rPr>
        <w:rFonts w:ascii="Arial" w:hAnsi="Arial" w:cs="Arial"/>
        <w:color w:val="000000"/>
        <w:sz w:val="24"/>
        <w:szCs w:val="24"/>
      </w:rPr>
    </w:pPr>
    <w:r>
      <w:rPr>
        <w:rFonts w:ascii="Times New Roman" w:hAnsi="Times New Roman" w:cs="Times New Roman"/>
        <w:color w:val="000000"/>
        <w:sz w:val="20"/>
        <w:szCs w:val="20"/>
      </w:rPr>
      <w:t>© 2010 Thomson Reuters. All rights reserved.</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jc w:val="center"/>
      <w:rPr>
        <w:rFonts w:ascii="Arial" w:hAnsi="Arial" w:cs="Arial"/>
        <w:color w:val="000000"/>
        <w:sz w:val="24"/>
        <w:szCs w:val="24"/>
      </w:rPr>
    </w:pPr>
    <w:r>
      <w:rPr>
        <w:rFonts w:ascii="Times New Roman" w:hAnsi="Times New Roman" w:cs="Times New Roman"/>
        <w:color w:val="000000"/>
        <w:sz w:val="20"/>
        <w:szCs w:val="20"/>
      </w:rPr>
      <w:t>© 2010 Thomson Reuters. All rights reserved.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jc w:val="center"/>
      <w:rPr>
        <w:rFonts w:ascii="Arial" w:hAnsi="Arial" w:cs="Arial"/>
        <w:color w:val="000000"/>
        <w:sz w:val="24"/>
        <w:szCs w:val="24"/>
      </w:rPr>
    </w:pPr>
    <w:r>
      <w:rPr>
        <w:rFonts w:ascii="Times New Roman" w:hAnsi="Times New Roman" w:cs="Times New Roman"/>
        <w:color w:val="000000"/>
        <w:sz w:val="20"/>
        <w:szCs w:val="20"/>
      </w:rPr>
      <w:t>© 2010 Thomson Reuters. No Claim to Orig. US Gov. Works.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jc w:val="center"/>
      <w:rPr>
        <w:rFonts w:ascii="Arial" w:hAnsi="Arial" w:cs="Arial"/>
        <w:color w:val="000000"/>
        <w:sz w:val="24"/>
        <w:szCs w:val="24"/>
      </w:rPr>
    </w:pPr>
    <w:r>
      <w:rPr>
        <w:rFonts w:ascii="Times New Roman" w:hAnsi="Times New Roman" w:cs="Times New Roman"/>
        <w:color w:val="000000"/>
        <w:sz w:val="20"/>
        <w:szCs w:val="20"/>
      </w:rPr>
      <w:t>© 2010 Thomson Reuters. No Claim to Orig. US Gov. Works.</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rPr>
        <w:rFonts w:ascii="Times New Roman" w:hAnsi="Times New Roman" w:cs="Times New Roman"/>
        <w:sz w:val="24"/>
        <w:szCs w:val="24"/>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jc w:val="center"/>
      <w:rPr>
        <w:rFonts w:ascii="Arial" w:hAnsi="Arial" w:cs="Arial"/>
        <w:color w:val="000000"/>
        <w:sz w:val="24"/>
        <w:szCs w:val="24"/>
      </w:rPr>
    </w:pPr>
    <w:r>
      <w:rPr>
        <w:rFonts w:ascii="Times New Roman" w:hAnsi="Times New Roman" w:cs="Times New Roman"/>
        <w:color w:val="000000"/>
        <w:sz w:val="20"/>
        <w:szCs w:val="20"/>
      </w:rPr>
      <w:t>© 2010 Thomson Reuters. All rights reserved.</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jc w:val="center"/>
      <w:rPr>
        <w:rFonts w:ascii="Arial" w:hAnsi="Arial" w:cs="Arial"/>
        <w:color w:val="000000"/>
        <w:sz w:val="24"/>
        <w:szCs w:val="24"/>
      </w:rPr>
    </w:pPr>
    <w:r>
      <w:rPr>
        <w:rFonts w:ascii="Times New Roman" w:hAnsi="Times New Roman" w:cs="Times New Roman"/>
        <w:color w:val="000000"/>
        <w:sz w:val="20"/>
        <w:szCs w:val="20"/>
      </w:rPr>
      <w:t>© 2010 Thomson Reuters. All rights reserved.</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rPr>
        <w:rFonts w:ascii="Times New Roman" w:hAnsi="Times New Roman" w:cs="Times New Roman"/>
        <w:sz w:val="24"/>
        <w:szCs w:val="24"/>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jc w:val="center"/>
      <w:rPr>
        <w:rFonts w:ascii="Arial" w:hAnsi="Arial" w:cs="Arial"/>
        <w:color w:val="000000"/>
        <w:sz w:val="24"/>
        <w:szCs w:val="24"/>
      </w:rPr>
    </w:pPr>
    <w:r>
      <w:rPr>
        <w:rFonts w:ascii="Times New Roman" w:hAnsi="Times New Roman" w:cs="Times New Roman"/>
        <w:color w:val="000000"/>
        <w:sz w:val="20"/>
        <w:szCs w:val="20"/>
      </w:rPr>
      <w:t>© 2010 Thomson Reuters. All rights reserved.</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jc w:val="center"/>
      <w:rPr>
        <w:rFonts w:ascii="Arial" w:hAnsi="Arial" w:cs="Arial"/>
        <w:color w:val="000000"/>
        <w:sz w:val="24"/>
        <w:szCs w:val="24"/>
      </w:rPr>
    </w:pPr>
    <w:r>
      <w:rPr>
        <w:rFonts w:ascii="Times New Roman" w:hAnsi="Times New Roman" w:cs="Times New Roman"/>
        <w:color w:val="000000"/>
        <w:sz w:val="20"/>
        <w:szCs w:val="20"/>
      </w:rPr>
      <w:t>© 2010 Thomson Reuters. All rights reserved.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A57363" w:rsidP="00952285">
      <w:pPr>
        <w:spacing w:after="0" w:line="240" w:lineRule="auto"/>
      </w:pPr>
      <w:r>
        <w:separator/>
      </w:r>
    </w:p>
  </w:footnote>
  <w:footnote w:type="continuationSeparator" w:id="0">
    <w:p w:rsidR="00000000" w:rsidRDefault="00A57363" w:rsidP="009522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rPr>
        <w:rFonts w:ascii="Times New Roman" w:hAnsi="Times New Roman" w:cs="Times New Roman"/>
        <w:sz w:val="24"/>
        <w:szCs w:val="24"/>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rPr>
        <w:rFonts w:ascii="Times New Roman" w:hAnsi="Times New Roman" w:cs="Times New Roman"/>
        <w:sz w:val="24"/>
        <w:szCs w:val="24"/>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rPr>
        <w:rFonts w:ascii="Times New Roman" w:hAnsi="Times New Roman" w:cs="Times New Roman"/>
        <w:sz w:val="24"/>
        <w:szCs w:val="24"/>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rPr>
        <w:rFonts w:ascii="Times New Roman" w:hAnsi="Times New Roman" w:cs="Times New Roman"/>
        <w:sz w:val="24"/>
        <w:szCs w:val="24"/>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6480"/>
      <w:gridCol w:w="2880"/>
    </w:tblGrid>
    <w:tr w:rsidR="00000000">
      <w:tblPrEx>
        <w:tblCellMar>
          <w:top w:w="0" w:type="dxa"/>
          <w:left w:w="0" w:type="dxa"/>
          <w:bottom w:w="0" w:type="dxa"/>
          <w:right w:w="0" w:type="dxa"/>
        </w:tblCellMar>
      </w:tblPrEx>
      <w:trPr>
        <w:gridAfter w:val="1"/>
        <w:wAfter w:w="2880" w:type="dxa"/>
      </w:trPr>
      <w:tc>
        <w:tcPr>
          <w:tcW w:w="64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r>
            <w:rPr>
              <w:rFonts w:ascii="Times New Roman" w:hAnsi="Times New Roman" w:cs="Times New Roman"/>
              <w:color w:val="000000"/>
              <w:sz w:val="20"/>
              <w:szCs w:val="20"/>
            </w:rPr>
            <w:t xml:space="preserve"> </w:t>
          </w:r>
          <w:r>
            <w:rPr>
              <w:rFonts w:ascii="Times New Roman" w:hAnsi="Times New Roman" w:cs="Times New Roman"/>
              <w:noProof/>
              <w:color w:val="000000"/>
              <w:sz w:val="20"/>
              <w:szCs w:val="20"/>
            </w:rPr>
            <w:drawing>
              <wp:inline distT="0" distB="0" distL="0" distR="0">
                <wp:extent cx="685800" cy="34607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
                        <a:srcRect/>
                        <a:stretch>
                          <a:fillRect/>
                        </a:stretch>
                      </pic:blipFill>
                      <pic:spPr bwMode="auto">
                        <a:xfrm>
                          <a:off x="0" y="0"/>
                          <a:ext cx="685800" cy="346075"/>
                        </a:xfrm>
                        <a:prstGeom prst="rect">
                          <a:avLst/>
                        </a:prstGeom>
                        <a:noFill/>
                        <a:ln w="9525">
                          <a:noFill/>
                          <a:miter lim="800000"/>
                          <a:headEnd/>
                          <a:tailEnd/>
                        </a:ln>
                      </pic:spPr>
                    </pic:pic>
                  </a:graphicData>
                </a:graphic>
              </wp:inline>
            </w:drawing>
          </w:r>
        </w:p>
      </w:tc>
    </w:tr>
    <w:tr w:rsidR="00000000">
      <w:tblPrEx>
        <w:tblCellMar>
          <w:top w:w="0" w:type="dxa"/>
          <w:left w:w="0" w:type="dxa"/>
          <w:bottom w:w="0" w:type="dxa"/>
          <w:right w:w="0" w:type="dxa"/>
        </w:tblCellMar>
      </w:tblPrEx>
      <w:tc>
        <w:tcPr>
          <w:tcW w:w="9360" w:type="dxa"/>
          <w:gridSpan w:val="2"/>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p>
      </w:tc>
    </w:tr>
  </w:tbl>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9360"/>
    </w:tblGrid>
    <w:tr w:rsidR="00000000">
      <w:tblPrEx>
        <w:tblCellMar>
          <w:top w:w="0" w:type="dxa"/>
          <w:left w:w="0" w:type="dxa"/>
          <w:bottom w:w="0" w:type="dxa"/>
          <w:right w:w="0" w:type="dxa"/>
        </w:tblCellMar>
      </w:tblPrEx>
      <w:tc>
        <w:tcPr>
          <w:tcW w:w="936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p>
      </w:tc>
    </w:tr>
  </w:tbl>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6480"/>
      <w:gridCol w:w="2880"/>
    </w:tblGrid>
    <w:tr w:rsidR="00000000">
      <w:tblPrEx>
        <w:tblCellMar>
          <w:top w:w="0" w:type="dxa"/>
          <w:left w:w="0" w:type="dxa"/>
          <w:bottom w:w="0" w:type="dxa"/>
          <w:right w:w="0" w:type="dxa"/>
        </w:tblCellMar>
      </w:tblPrEx>
      <w:tc>
        <w:tcPr>
          <w:tcW w:w="64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r>
            <w:rPr>
              <w:rFonts w:ascii="Times New Roman" w:hAnsi="Times New Roman" w:cs="Times New Roman"/>
              <w:color w:val="000000"/>
              <w:sz w:val="20"/>
              <w:szCs w:val="20"/>
            </w:rPr>
            <w:t xml:space="preserve"> </w:t>
          </w:r>
          <w:r>
            <w:rPr>
              <w:rFonts w:ascii="Times New Roman" w:hAnsi="Times New Roman" w:cs="Times New Roman"/>
              <w:noProof/>
              <w:color w:val="000000"/>
              <w:sz w:val="20"/>
              <w:szCs w:val="20"/>
            </w:rPr>
            <w:drawing>
              <wp:inline distT="0" distB="0" distL="0" distR="0">
                <wp:extent cx="685800" cy="3460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85800" cy="346075"/>
                        </a:xfrm>
                        <a:prstGeom prst="rect">
                          <a:avLst/>
                        </a:prstGeom>
                        <a:noFill/>
                        <a:ln w="9525">
                          <a:noFill/>
                          <a:miter lim="800000"/>
                          <a:headEnd/>
                          <a:tailEnd/>
                        </a:ln>
                      </pic:spPr>
                    </pic:pic>
                  </a:graphicData>
                </a:graphic>
              </wp:inline>
            </w:drawing>
          </w:r>
        </w:p>
      </w:tc>
      <w:tc>
        <w:tcPr>
          <w:tcW w:w="28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p>
      </w:tc>
    </w:tr>
    <w:tr w:rsidR="00000000">
      <w:tblPrEx>
        <w:tblCellMar>
          <w:top w:w="0" w:type="dxa"/>
          <w:left w:w="0" w:type="dxa"/>
          <w:bottom w:w="0" w:type="dxa"/>
          <w:right w:w="0" w:type="dxa"/>
        </w:tblCellMar>
      </w:tblPrEx>
      <w:tc>
        <w:tcPr>
          <w:tcW w:w="64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r>
            <w:rPr>
              <w:rFonts w:ascii="Times New Roman" w:hAnsi="Times New Roman" w:cs="Times New Roman"/>
              <w:color w:val="000000"/>
              <w:sz w:val="20"/>
              <w:szCs w:val="20"/>
            </w:rPr>
            <w:t> </w:t>
          </w:r>
        </w:p>
        <w:p w:rsidR="00000000" w:rsidRDefault="00A57363">
          <w:pPr>
            <w:widowControl w:val="0"/>
            <w:autoSpaceDE w:val="0"/>
            <w:autoSpaceDN w:val="0"/>
            <w:adjustRightInd w:val="0"/>
            <w:spacing w:after="0" w:line="240" w:lineRule="auto"/>
            <w:rPr>
              <w:rFonts w:ascii="Arial" w:hAnsi="Arial" w:cs="Arial"/>
              <w:color w:val="000000"/>
              <w:sz w:val="24"/>
              <w:szCs w:val="24"/>
            </w:rPr>
          </w:pPr>
        </w:p>
      </w:tc>
      <w:tc>
        <w:tcPr>
          <w:tcW w:w="28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jc w:val="right"/>
            <w:rPr>
              <w:rFonts w:ascii="Arial" w:hAnsi="Arial" w:cs="Arial"/>
              <w:color w:val="000000"/>
              <w:sz w:val="24"/>
              <w:szCs w:val="24"/>
            </w:rPr>
          </w:pPr>
          <w:r>
            <w:rPr>
              <w:rFonts w:ascii="Times New Roman" w:hAnsi="Times New Roman" w:cs="Times New Roman"/>
              <w:color w:val="000000"/>
              <w:sz w:val="20"/>
              <w:szCs w:val="20"/>
            </w:rPr>
            <w:t xml:space="preserve">Page </w:t>
          </w:r>
          <w:r>
            <w:rPr>
              <w:rFonts w:ascii="Times New Roman" w:hAnsi="Times New Roman" w:cs="Times New Roman"/>
              <w:color w:val="000000"/>
              <w:sz w:val="20"/>
              <w:szCs w:val="20"/>
            </w:rPr>
            <w:pgNum/>
          </w:r>
        </w:p>
      </w:tc>
    </w:tr>
    <w:tr w:rsidR="00000000">
      <w:tblPrEx>
        <w:tblCellMar>
          <w:top w:w="0" w:type="dxa"/>
          <w:left w:w="0" w:type="dxa"/>
          <w:bottom w:w="0" w:type="dxa"/>
          <w:right w:w="0" w:type="dxa"/>
        </w:tblCellMar>
      </w:tblPrEx>
      <w:tc>
        <w:tcPr>
          <w:tcW w:w="9360" w:type="dxa"/>
          <w:gridSpan w:val="2"/>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r>
            <w:rPr>
              <w:rFonts w:ascii="Times New Roman" w:hAnsi="Times New Roman" w:cs="Times New Roman"/>
              <w:color w:val="000000"/>
              <w:sz w:val="20"/>
              <w:szCs w:val="20"/>
            </w:rPr>
            <w:t>--- S.Ct. ----, 2010 WL 2243704 (U.S.), 78 USLW 4518, Bankr. L. Rep. P 81,780, 10 Cal. Daily Op. Serv. 6973, 2010 Daily Journal D.A.R. 8299, 22 Fla. L. Weekly Fed. S 427</w:t>
          </w:r>
        </w:p>
      </w:tc>
    </w:tr>
    <w:tr w:rsidR="00000000">
      <w:tblPrEx>
        <w:tblCellMar>
          <w:top w:w="0" w:type="dxa"/>
          <w:left w:w="0" w:type="dxa"/>
          <w:bottom w:w="0" w:type="dxa"/>
          <w:right w:w="0" w:type="dxa"/>
        </w:tblCellMar>
      </w:tblPrEx>
      <w:tc>
        <w:tcPr>
          <w:tcW w:w="9360" w:type="dxa"/>
          <w:gridSpan w:val="2"/>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r>
            <w:rPr>
              <w:rFonts w:ascii="Times New Roman" w:hAnsi="Times New Roman" w:cs="Times New Roman"/>
              <w:b/>
              <w:bCs/>
              <w:color w:val="000000"/>
              <w:sz w:val="20"/>
              <w:szCs w:val="20"/>
            </w:rPr>
            <w:t>(Cite as: 2010 WL 2243704 (U.S.))</w:t>
          </w:r>
        </w:p>
      </w:tc>
    </w:tr>
  </w:tbl>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6480"/>
      <w:gridCol w:w="2880"/>
    </w:tblGrid>
    <w:tr w:rsidR="00000000">
      <w:tblPrEx>
        <w:tblCellMar>
          <w:top w:w="0" w:type="dxa"/>
          <w:left w:w="0" w:type="dxa"/>
          <w:bottom w:w="0" w:type="dxa"/>
          <w:right w:w="0" w:type="dxa"/>
        </w:tblCellMar>
      </w:tblPrEx>
      <w:tc>
        <w:tcPr>
          <w:tcW w:w="64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r>
            <w:rPr>
              <w:rFonts w:ascii="Times New Roman" w:hAnsi="Times New Roman" w:cs="Times New Roman"/>
              <w:color w:val="000000"/>
              <w:sz w:val="20"/>
              <w:szCs w:val="20"/>
            </w:rPr>
            <w:t> </w:t>
          </w:r>
        </w:p>
        <w:p w:rsidR="00000000" w:rsidRDefault="00A57363">
          <w:pPr>
            <w:widowControl w:val="0"/>
            <w:autoSpaceDE w:val="0"/>
            <w:autoSpaceDN w:val="0"/>
            <w:adjustRightInd w:val="0"/>
            <w:spacing w:after="0" w:line="240" w:lineRule="auto"/>
            <w:rPr>
              <w:rFonts w:ascii="Arial" w:hAnsi="Arial" w:cs="Arial"/>
              <w:color w:val="000000"/>
              <w:sz w:val="24"/>
              <w:szCs w:val="24"/>
            </w:rPr>
          </w:pPr>
        </w:p>
      </w:tc>
      <w:tc>
        <w:tcPr>
          <w:tcW w:w="28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jc w:val="right"/>
            <w:rPr>
              <w:rFonts w:ascii="Arial" w:hAnsi="Arial" w:cs="Arial"/>
              <w:color w:val="000000"/>
              <w:sz w:val="24"/>
              <w:szCs w:val="24"/>
            </w:rPr>
          </w:pPr>
          <w:r>
            <w:rPr>
              <w:rFonts w:ascii="Times New Roman" w:hAnsi="Times New Roman" w:cs="Times New Roman"/>
              <w:color w:val="000000"/>
              <w:sz w:val="20"/>
              <w:szCs w:val="20"/>
            </w:rPr>
            <w:t xml:space="preserve">Page </w:t>
          </w:r>
          <w:r>
            <w:rPr>
              <w:rFonts w:ascii="Times New Roman" w:hAnsi="Times New Roman" w:cs="Times New Roman"/>
              <w:color w:val="000000"/>
              <w:sz w:val="20"/>
              <w:szCs w:val="20"/>
            </w:rPr>
            <w:pgNum/>
          </w:r>
        </w:p>
      </w:tc>
    </w:tr>
    <w:tr w:rsidR="00000000">
      <w:tblPrEx>
        <w:tblCellMar>
          <w:top w:w="0" w:type="dxa"/>
          <w:left w:w="0" w:type="dxa"/>
          <w:bottom w:w="0" w:type="dxa"/>
          <w:right w:w="0" w:type="dxa"/>
        </w:tblCellMar>
      </w:tblPrEx>
      <w:tc>
        <w:tcPr>
          <w:tcW w:w="9360" w:type="dxa"/>
          <w:gridSpan w:val="2"/>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r>
            <w:rPr>
              <w:rFonts w:ascii="Times New Roman" w:hAnsi="Times New Roman" w:cs="Times New Roman"/>
              <w:color w:val="000000"/>
              <w:sz w:val="20"/>
              <w:szCs w:val="20"/>
            </w:rPr>
            <w:t>--- S.Ct. ----, 2010 WL 2243704 (U.S.), 78 USLW 4518, Bankr. L. Rep. P 81,780, 10 Cal. Daily Op. Serv. 6973, 2010 Daily Journal D.A.R. 8299, 22 Fla. L. Weekly Fed. S 427</w:t>
          </w:r>
        </w:p>
      </w:tc>
    </w:tr>
    <w:tr w:rsidR="00000000">
      <w:tblPrEx>
        <w:tblCellMar>
          <w:top w:w="0" w:type="dxa"/>
          <w:left w:w="0" w:type="dxa"/>
          <w:bottom w:w="0" w:type="dxa"/>
          <w:right w:w="0" w:type="dxa"/>
        </w:tblCellMar>
      </w:tblPrEx>
      <w:tc>
        <w:tcPr>
          <w:tcW w:w="9360" w:type="dxa"/>
          <w:gridSpan w:val="2"/>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r>
            <w:rPr>
              <w:rFonts w:ascii="Times New Roman" w:hAnsi="Times New Roman" w:cs="Times New Roman"/>
              <w:b/>
              <w:bCs/>
              <w:color w:val="000000"/>
              <w:sz w:val="20"/>
              <w:szCs w:val="20"/>
            </w:rPr>
            <w:t>(Ci</w:t>
          </w:r>
          <w:r>
            <w:rPr>
              <w:rFonts w:ascii="Times New Roman" w:hAnsi="Times New Roman" w:cs="Times New Roman"/>
              <w:b/>
              <w:bCs/>
              <w:color w:val="000000"/>
              <w:sz w:val="20"/>
              <w:szCs w:val="20"/>
            </w:rPr>
            <w:t>te as: 2010 WL 2243704 (U.S.))</w:t>
          </w:r>
        </w:p>
      </w:tc>
    </w:tr>
  </w:tbl>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rPr>
        <w:rFonts w:ascii="Times New Roman" w:hAnsi="Times New Roman" w:cs="Times New Roman"/>
        <w:sz w:val="24"/>
        <w:szCs w:val="24"/>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6480"/>
      <w:gridCol w:w="2880"/>
    </w:tblGrid>
    <w:tr w:rsidR="00000000">
      <w:tblPrEx>
        <w:tblCellMar>
          <w:top w:w="0" w:type="dxa"/>
          <w:left w:w="0" w:type="dxa"/>
          <w:bottom w:w="0" w:type="dxa"/>
          <w:right w:w="0" w:type="dxa"/>
        </w:tblCellMar>
      </w:tblPrEx>
      <w:trPr>
        <w:gridAfter w:val="1"/>
        <w:wAfter w:w="2880" w:type="dxa"/>
      </w:trPr>
      <w:tc>
        <w:tcPr>
          <w:tcW w:w="64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r>
            <w:rPr>
              <w:rFonts w:ascii="Times New Roman" w:hAnsi="Times New Roman" w:cs="Times New Roman"/>
              <w:color w:val="000000"/>
              <w:sz w:val="20"/>
              <w:szCs w:val="20"/>
            </w:rPr>
            <w:t xml:space="preserve"> </w:t>
          </w:r>
          <w:r>
            <w:rPr>
              <w:rFonts w:ascii="Times New Roman" w:hAnsi="Times New Roman" w:cs="Times New Roman"/>
              <w:noProof/>
              <w:color w:val="000000"/>
              <w:sz w:val="20"/>
              <w:szCs w:val="20"/>
            </w:rPr>
            <w:drawing>
              <wp:inline distT="0" distB="0" distL="0" distR="0">
                <wp:extent cx="685800" cy="346075"/>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srcRect/>
                        <a:stretch>
                          <a:fillRect/>
                        </a:stretch>
                      </pic:blipFill>
                      <pic:spPr bwMode="auto">
                        <a:xfrm>
                          <a:off x="0" y="0"/>
                          <a:ext cx="685800" cy="346075"/>
                        </a:xfrm>
                        <a:prstGeom prst="rect">
                          <a:avLst/>
                        </a:prstGeom>
                        <a:noFill/>
                        <a:ln w="9525">
                          <a:noFill/>
                          <a:miter lim="800000"/>
                          <a:headEnd/>
                          <a:tailEnd/>
                        </a:ln>
                      </pic:spPr>
                    </pic:pic>
                  </a:graphicData>
                </a:graphic>
              </wp:inline>
            </w:drawing>
          </w:r>
        </w:p>
      </w:tc>
    </w:tr>
    <w:tr w:rsidR="00000000">
      <w:tblPrEx>
        <w:tblCellMar>
          <w:top w:w="0" w:type="dxa"/>
          <w:left w:w="0" w:type="dxa"/>
          <w:bottom w:w="0" w:type="dxa"/>
          <w:right w:w="0" w:type="dxa"/>
        </w:tblCellMar>
      </w:tblPrEx>
      <w:tc>
        <w:tcPr>
          <w:tcW w:w="9360" w:type="dxa"/>
          <w:gridSpan w:val="2"/>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9360"/>
    </w:tblGrid>
    <w:tr w:rsidR="00000000">
      <w:tblPrEx>
        <w:tblCellMar>
          <w:top w:w="0" w:type="dxa"/>
          <w:left w:w="0" w:type="dxa"/>
          <w:bottom w:w="0" w:type="dxa"/>
          <w:right w:w="0" w:type="dxa"/>
        </w:tblCellMar>
      </w:tblPrEx>
      <w:tc>
        <w:tcPr>
          <w:tcW w:w="936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p>
      </w:tc>
    </w:tr>
  </w:tbl>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7363">
    <w:pPr>
      <w:widowControl w:val="0"/>
      <w:autoSpaceDE w:val="0"/>
      <w:autoSpaceDN w:val="0"/>
      <w:adjustRightInd w:val="0"/>
      <w:spacing w:after="0" w:line="240" w:lineRule="auto"/>
      <w:rPr>
        <w:rFonts w:ascii="Times New Roman" w:hAnsi="Times New Roman" w:cs="Times New Roman"/>
        <w:sz w:val="24"/>
        <w:szCs w:val="24"/>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6480"/>
      <w:gridCol w:w="2880"/>
    </w:tblGrid>
    <w:tr w:rsidR="00000000">
      <w:tblPrEx>
        <w:tblCellMar>
          <w:top w:w="0" w:type="dxa"/>
          <w:left w:w="0" w:type="dxa"/>
          <w:bottom w:w="0" w:type="dxa"/>
          <w:right w:w="0" w:type="dxa"/>
        </w:tblCellMar>
      </w:tblPrEx>
      <w:trPr>
        <w:gridAfter w:val="1"/>
        <w:wAfter w:w="2880" w:type="dxa"/>
      </w:trPr>
      <w:tc>
        <w:tcPr>
          <w:tcW w:w="64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r>
            <w:rPr>
              <w:rFonts w:ascii="Times New Roman" w:hAnsi="Times New Roman" w:cs="Times New Roman"/>
              <w:color w:val="000000"/>
              <w:sz w:val="20"/>
              <w:szCs w:val="20"/>
            </w:rPr>
            <w:t xml:space="preserve"> </w:t>
          </w:r>
          <w:r>
            <w:rPr>
              <w:rFonts w:ascii="Times New Roman" w:hAnsi="Times New Roman" w:cs="Times New Roman"/>
              <w:noProof/>
              <w:color w:val="000000"/>
              <w:sz w:val="20"/>
              <w:szCs w:val="20"/>
            </w:rPr>
            <w:drawing>
              <wp:inline distT="0" distB="0" distL="0" distR="0">
                <wp:extent cx="685800" cy="346075"/>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srcRect/>
                        <a:stretch>
                          <a:fillRect/>
                        </a:stretch>
                      </pic:blipFill>
                      <pic:spPr bwMode="auto">
                        <a:xfrm>
                          <a:off x="0" y="0"/>
                          <a:ext cx="685800" cy="346075"/>
                        </a:xfrm>
                        <a:prstGeom prst="rect">
                          <a:avLst/>
                        </a:prstGeom>
                        <a:noFill/>
                        <a:ln w="9525">
                          <a:noFill/>
                          <a:miter lim="800000"/>
                          <a:headEnd/>
                          <a:tailEnd/>
                        </a:ln>
                      </pic:spPr>
                    </pic:pic>
                  </a:graphicData>
                </a:graphic>
              </wp:inline>
            </w:drawing>
          </w:r>
        </w:p>
      </w:tc>
    </w:tr>
    <w:tr w:rsidR="00000000">
      <w:tblPrEx>
        <w:tblCellMar>
          <w:top w:w="0" w:type="dxa"/>
          <w:left w:w="0" w:type="dxa"/>
          <w:bottom w:w="0" w:type="dxa"/>
          <w:right w:w="0" w:type="dxa"/>
        </w:tblCellMar>
      </w:tblPrEx>
      <w:tc>
        <w:tcPr>
          <w:tcW w:w="9360" w:type="dxa"/>
          <w:gridSpan w:val="2"/>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p>
      </w:tc>
    </w:tr>
  </w:tbl>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6480"/>
      <w:gridCol w:w="2880"/>
    </w:tblGrid>
    <w:tr w:rsidR="00000000">
      <w:tblPrEx>
        <w:tblCellMar>
          <w:top w:w="0" w:type="dxa"/>
          <w:left w:w="0" w:type="dxa"/>
          <w:bottom w:w="0" w:type="dxa"/>
          <w:right w:w="0" w:type="dxa"/>
        </w:tblCellMar>
      </w:tblPrEx>
      <w:tc>
        <w:tcPr>
          <w:tcW w:w="9360" w:type="dxa"/>
          <w:gridSpan w:val="2"/>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p>
      </w:tc>
    </w:tr>
    <w:tr w:rsidR="00000000">
      <w:tblPrEx>
        <w:tblCellMar>
          <w:top w:w="0" w:type="dxa"/>
          <w:left w:w="0" w:type="dxa"/>
          <w:bottom w:w="0" w:type="dxa"/>
          <w:right w:w="0" w:type="dxa"/>
        </w:tblCellMar>
      </w:tblPrEx>
      <w:tc>
        <w:tcPr>
          <w:tcW w:w="64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r>
            <w:rPr>
              <w:rFonts w:ascii="Times New Roman" w:hAnsi="Times New Roman" w:cs="Times New Roman"/>
              <w:color w:val="000000"/>
              <w:sz w:val="20"/>
              <w:szCs w:val="20"/>
            </w:rPr>
            <w:t xml:space="preserve"> </w:t>
          </w:r>
          <w:r>
            <w:rPr>
              <w:rFonts w:ascii="Times New Roman" w:hAnsi="Times New Roman" w:cs="Times New Roman"/>
              <w:noProof/>
              <w:color w:val="000000"/>
              <w:sz w:val="20"/>
              <w:szCs w:val="20"/>
            </w:rPr>
            <w:drawing>
              <wp:inline distT="0" distB="0" distL="0" distR="0">
                <wp:extent cx="685800" cy="346075"/>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
                        <a:srcRect/>
                        <a:stretch>
                          <a:fillRect/>
                        </a:stretch>
                      </pic:blipFill>
                      <pic:spPr bwMode="auto">
                        <a:xfrm>
                          <a:off x="0" y="0"/>
                          <a:ext cx="685800" cy="346075"/>
                        </a:xfrm>
                        <a:prstGeom prst="rect">
                          <a:avLst/>
                        </a:prstGeom>
                        <a:noFill/>
                        <a:ln w="9525">
                          <a:noFill/>
                          <a:miter lim="800000"/>
                          <a:headEnd/>
                          <a:tailEnd/>
                        </a:ln>
                      </pic:spPr>
                    </pic:pic>
                  </a:graphicData>
                </a:graphic>
              </wp:inline>
            </w:drawing>
          </w:r>
        </w:p>
      </w:tc>
      <w:tc>
        <w:tcPr>
          <w:tcW w:w="2880" w:type="dxa"/>
          <w:tcBorders>
            <w:top w:val="nil"/>
            <w:left w:val="nil"/>
            <w:bottom w:val="nil"/>
            <w:right w:val="nil"/>
          </w:tcBorders>
          <w:tcMar>
            <w:top w:w="0" w:type="dxa"/>
            <w:left w:w="0" w:type="dxa"/>
            <w:bottom w:w="0" w:type="dxa"/>
            <w:right w:w="0" w:type="dxa"/>
          </w:tcMar>
        </w:tcPr>
        <w:p w:rsidR="00000000" w:rsidRDefault="00A57363">
          <w:pPr>
            <w:widowControl w:val="0"/>
            <w:autoSpaceDE w:val="0"/>
            <w:autoSpaceDN w:val="0"/>
            <w:adjustRightInd w:val="0"/>
            <w:spacing w:after="0" w:line="240" w:lineRule="auto"/>
            <w:rPr>
              <w:rFonts w:ascii="Arial" w:hAnsi="Arial" w:cs="Arial"/>
              <w:color w:val="000000"/>
              <w:sz w:val="24"/>
              <w:szCs w:val="24"/>
            </w:rPr>
          </w:pPr>
        </w:p>
      </w:tc>
    </w:tr>
  </w:tbl>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embedSystemFonts/>
  <w:bordersDoNotSurroundHeader/>
  <w:bordersDoNotSurroundFooter/>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
  <w:rsids>
    <w:rsidRoot w:val="009969BC"/>
    <w:rsid w:val="009969BC"/>
    <w:rsid w:val="00A573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117" Type="http://schemas.openxmlformats.org/officeDocument/2006/relationships/hyperlink" Target="http://www.westlaw.com/Find/Default.wl?rs=dfa1.0&amp;vr=2.0&amp;DB=708&amp;FindType=Y&amp;SerialNum=2011721776" TargetMode="External"/><Relationship Id="rId299" Type="http://schemas.openxmlformats.org/officeDocument/2006/relationships/hyperlink" Target="http://www.westlaw.com/Find/Default.wl?rs=dfa1.0&amp;vr=2.0&amp;DB=1000546&amp;DocName=11USCAS1325&amp;FindType=L&amp;ReferencePositionType=T&amp;ReferencePosition=SP_2a4b0000e5562" TargetMode="External"/><Relationship Id="rId21" Type="http://schemas.openxmlformats.org/officeDocument/2006/relationships/hyperlink" Target="http://www.westlaw.com/KeyNumber/Default.wl?rs=dfa1.0&amp;vr=2.0&amp;CMD=KEY&amp;DocName=51k3704" TargetMode="External"/><Relationship Id="rId63" Type="http://schemas.openxmlformats.org/officeDocument/2006/relationships/hyperlink" Target="http://www.westlaw.com/KeyNumber/Default.wl?rs=dfa1.0&amp;vr=2.0&amp;CMD=KEY&amp;DocName=361k187" TargetMode="External"/><Relationship Id="rId159" Type="http://schemas.openxmlformats.org/officeDocument/2006/relationships/hyperlink" Target="http://www.westlaw.com/Find/Default.wl?rs=dfa1.0&amp;vr=2.0&amp;DB=1000546&amp;DocName=11USCAS1325&amp;FindType=L" TargetMode="External"/><Relationship Id="rId324" Type="http://schemas.openxmlformats.org/officeDocument/2006/relationships/hyperlink" Target="http://www.westlaw.com/Find/Default.wl?rs=dfa1.0&amp;vr=2.0&amp;DB=1000546&amp;DocName=11USCAS707&amp;FindType=L&amp;ReferencePositionType=T&amp;ReferencePosition=SP_226a0000d5fe7" TargetMode="External"/><Relationship Id="rId366" Type="http://schemas.openxmlformats.org/officeDocument/2006/relationships/hyperlink" Target="http://www.westlaw.com/Find/Default.wl?rs=dfa1.0&amp;vr=2.0&amp;DB=1000546&amp;DocName=11USCAS1325&amp;FindType=L&amp;ReferencePositionType=T&amp;ReferencePosition=SP_c0ae00006c482" TargetMode="External"/><Relationship Id="rId170" Type="http://schemas.openxmlformats.org/officeDocument/2006/relationships/hyperlink" Target="http://www.westlaw.com/Find/Default.wl?rs=dfa1.0&amp;vr=2.0&amp;DB=1000546&amp;DocName=11USCAS1325&amp;FindType=L&amp;ReferencePositionType=T&amp;ReferencePosition=SP_226a0000d5fe7" TargetMode="External"/><Relationship Id="rId226" Type="http://schemas.openxmlformats.org/officeDocument/2006/relationships/hyperlink" Target="http://www.westlaw.com/Find/Default.wl?rs=dfa1.0&amp;vr=2.0&amp;DB=164&amp;FindType=Y&amp;ReferencePositionType=S&amp;SerialNum=2002646756&amp;ReferencePosition=799" TargetMode="External"/><Relationship Id="rId433" Type="http://schemas.openxmlformats.org/officeDocument/2006/relationships/image" Target="media/image4.png"/><Relationship Id="rId268" Type="http://schemas.openxmlformats.org/officeDocument/2006/relationships/hyperlink" Target="http://www.westlaw.com/Find/Default.wl?rs=dfa1.0&amp;vr=2.0&amp;DB=708&amp;FindType=Y&amp;SerialNum=1998075896" TargetMode="External"/><Relationship Id="rId475" Type="http://schemas.openxmlformats.org/officeDocument/2006/relationships/header" Target="header11.xml"/><Relationship Id="rId32" Type="http://schemas.openxmlformats.org/officeDocument/2006/relationships/hyperlink" Target="http://www.westlaw.com/KeyNumber/Default.wl?rs=dfa1.0&amp;vr=2.0&amp;CMD=KEY&amp;DocName=51I" TargetMode="External"/><Relationship Id="rId74" Type="http://schemas.openxmlformats.org/officeDocument/2006/relationships/hyperlink" Target="http://www.westlaw.com/KeyNumber/Default.wl?rs=dfa1.0&amp;vr=2.0&amp;CMD=KEY&amp;DocName=51I%28B%29" TargetMode="External"/><Relationship Id="rId128" Type="http://schemas.openxmlformats.org/officeDocument/2006/relationships/hyperlink" Target="http://www.westlaw.com/Find/Default.wl?rs=dfa1.0&amp;vr=2.0&amp;DB=PROFILER-WLD&amp;DocName=0258116001&amp;FindType=h" TargetMode="External"/><Relationship Id="rId335" Type="http://schemas.openxmlformats.org/officeDocument/2006/relationships/hyperlink" Target="http://www.westlaw.com/Find/Default.wl?rs=dfa1.0&amp;vr=2.0&amp;DB=1000546&amp;DocName=11USCAS1325&amp;FindType=L&amp;ReferencePositionType=T&amp;ReferencePosition=SP_2a4b0000e5562" TargetMode="External"/><Relationship Id="rId377" Type="http://schemas.openxmlformats.org/officeDocument/2006/relationships/hyperlink" Target="http://www.westlaw.com/Find/Default.wl?rs=dfa1.0&amp;vr=2.0&amp;FindType=Y&amp;SerialNum=2022098240" TargetMode="External"/><Relationship Id="rId500" Type="http://schemas.openxmlformats.org/officeDocument/2006/relationships/hyperlink" Target="http://www.westlaw.com/KeyCite/Default.wl?rs=dfa1.0&amp;vr=2.0&amp;CMD=KC&amp;SerialNum=2022371055&amp;HistoryType=C" TargetMode="External"/><Relationship Id="rId5" Type="http://schemas.openxmlformats.org/officeDocument/2006/relationships/footnotes" Target="footnotes.xml"/><Relationship Id="rId181" Type="http://schemas.openxmlformats.org/officeDocument/2006/relationships/hyperlink" Target="http://www.westlaw.com/Find/Default.wl?rs=dfa1.0&amp;vr=2.0&amp;FindType=Y&amp;SerialNum=2012282366" TargetMode="External"/><Relationship Id="rId237" Type="http://schemas.openxmlformats.org/officeDocument/2006/relationships/hyperlink" Target="http://www.westlaw.com/Find/Default.wl?rs=dfa1.0&amp;vr=2.0&amp;DB=164&amp;FindType=Y&amp;ReferencePositionType=S&amp;SerialNum=1985153987&amp;ReferencePosition=378" TargetMode="External"/><Relationship Id="rId402" Type="http://schemas.openxmlformats.org/officeDocument/2006/relationships/hyperlink" Target="http://www.westlaw.com/Find/Default.wl?rs=dfa1.0&amp;vr=2.0&amp;FindType=Y&amp;SerialNum=1987036775" TargetMode="External"/><Relationship Id="rId279" Type="http://schemas.openxmlformats.org/officeDocument/2006/relationships/hyperlink" Target="http://www.westlaw.com/Find/Default.wl?rs=dfa1.0&amp;vr=2.0&amp;DB=708&amp;FindType=Y&amp;SerialNum=1998061310" TargetMode="External"/><Relationship Id="rId444" Type="http://schemas.openxmlformats.org/officeDocument/2006/relationships/hyperlink" Target="http://www.westlaw.com/Find/Default.wl?rs=dfa1.0&amp;vr=2.0&amp;FindType=2&amp;SerialNum=2019113322&amp;CaseCite=---+S.Ct.+----&amp;CaseSerial=2022242875" TargetMode="External"/><Relationship Id="rId486" Type="http://schemas.openxmlformats.org/officeDocument/2006/relationships/hyperlink" Target="http://www.westlaw.com/Find/Default.wl?rs=dfa1.0&amp;vr=2.0&amp;FindType=1&amp;SerialNum=2022456540&amp;CaseCite=+SCt+&amp;CaseSerial=2022242875" TargetMode="External"/><Relationship Id="rId43" Type="http://schemas.openxmlformats.org/officeDocument/2006/relationships/hyperlink" Target="http://www.westlaw.com/Digest/Default.wl?rs=dfa1.0&amp;vr=2.0&amp;CMD=MCC&amp;DocName=51k2021.1" TargetMode="External"/><Relationship Id="rId139" Type="http://schemas.openxmlformats.org/officeDocument/2006/relationships/hyperlink" Target="http://www.westlaw.com/Find/Default.wl?rs=dfa1.0&amp;vr=2.0&amp;DB=PROFILER-WLD&amp;DocName=0368626701&amp;FindType=h" TargetMode="External"/><Relationship Id="rId290" Type="http://schemas.openxmlformats.org/officeDocument/2006/relationships/hyperlink" Target="http://www.westlaw.com/Find/Default.wl?rs=dfa1.0&amp;vr=2.0&amp;FindType=Y&amp;SerialNum=2019402498" TargetMode="External"/><Relationship Id="rId304" Type="http://schemas.openxmlformats.org/officeDocument/2006/relationships/hyperlink" Target="http://www.westlaw.com/Find/Default.wl?rs=dfa1.0&amp;vr=2.0&amp;DB=164&amp;FindType=Y&amp;ReferencePositionType=S&amp;SerialNum=2015431162&amp;ReferencePosition=314" TargetMode="External"/><Relationship Id="rId346" Type="http://schemas.openxmlformats.org/officeDocument/2006/relationships/hyperlink" Target="http://www.westlaw.com/Find/Default.wl?rs=dfa1.0&amp;vr=2.0&amp;DB=1000546&amp;DocName=11USCAS1325&amp;FindType=L&amp;ReferencePositionType=T&amp;ReferencePosition=SP_c0ae00006c482" TargetMode="External"/><Relationship Id="rId388" Type="http://schemas.openxmlformats.org/officeDocument/2006/relationships/hyperlink" Target="http://www.westlaw.com/Find/Default.wl?rs=dfa1.0&amp;vr=2.0&amp;DB=1000546&amp;DocName=11USCAS101&amp;FindType=L&amp;ReferencePositionType=T&amp;ReferencePosition=SP_9ea10000d2c36" TargetMode="External"/><Relationship Id="rId511" Type="http://schemas.openxmlformats.org/officeDocument/2006/relationships/image" Target="media/image9.png"/><Relationship Id="rId85" Type="http://schemas.openxmlformats.org/officeDocument/2006/relationships/hyperlink" Target="http://www.westlaw.com/Find/Default.wl?rs=dfa1.0&amp;vr=2.0&amp;DB=1000546&amp;DocName=11USCAS1327&amp;FindType=L&amp;ReferencePositionType=T&amp;ReferencePosition=SP_8b3b0000958a4" TargetMode="External"/><Relationship Id="rId150" Type="http://schemas.openxmlformats.org/officeDocument/2006/relationships/hyperlink" Target="http://www.westlaw.com/Find/Default.wl?rs=dfa1.0&amp;vr=2.0&amp;DB=PROFILER-WLD&amp;DocName=0427789901&amp;FindType=h" TargetMode="External"/><Relationship Id="rId192" Type="http://schemas.openxmlformats.org/officeDocument/2006/relationships/hyperlink" Target="http://www.westlaw.com/Find/Default.wl?rs=dfa1.0&amp;vr=2.0&amp;FindType=Y&amp;SerialNum=2017444304" TargetMode="External"/><Relationship Id="rId206" Type="http://schemas.openxmlformats.org/officeDocument/2006/relationships/hyperlink" Target="http://www.westlaw.com/Find/Default.wl?rs=dfa1.0&amp;vr=2.0&amp;DB=1000546&amp;DocName=8USCAS1364&amp;FindType=L&amp;ReferencePositionType=T&amp;ReferencePosition=SP_fcf30000ea9c4" TargetMode="External"/><Relationship Id="rId413" Type="http://schemas.openxmlformats.org/officeDocument/2006/relationships/hyperlink" Target="http://www.westlaw.com/Find/Default.wl?rs=dfa1.0&amp;vr=2.0&amp;FindType=Y&amp;SerialNum=2003077835" TargetMode="External"/><Relationship Id="rId248" Type="http://schemas.openxmlformats.org/officeDocument/2006/relationships/hyperlink" Target="http://www.westlaw.com/Find/Default.wl?rs=dfa1.0&amp;vr=2.0&amp;FindType=Y&amp;SerialNum=1987059294" TargetMode="External"/><Relationship Id="rId455" Type="http://schemas.openxmlformats.org/officeDocument/2006/relationships/hyperlink" Target="http://www.westlaw.com/Find/Default.wl?rs=dfa1.0&amp;vr=2.0&amp;FindType=2&amp;SerialNum=2015738943&amp;CaseCite=---+S.Ct.+----&amp;CaseSerial=2022242875" TargetMode="External"/><Relationship Id="rId497" Type="http://schemas.openxmlformats.org/officeDocument/2006/relationships/hyperlink" Target="http://www.westlaw.com/KeyCite/Default.wl?rs=dfa1.0&amp;vr=2.0&amp;CMD=KC&amp;SerialNum=2022370836&amp;HistoryType=C" TargetMode="External"/><Relationship Id="rId12" Type="http://schemas.openxmlformats.org/officeDocument/2006/relationships/hyperlink" Target="http://www.westlaw.com/Find/Default.wl?rs=dfa1.0&amp;vr=2.0&amp;DB=999&amp;FindType=Y&amp;SerialNum=2012282366" TargetMode="External"/><Relationship Id="rId108" Type="http://schemas.openxmlformats.org/officeDocument/2006/relationships/hyperlink" Target="http://www.westlaw.com/Find/Default.wl?rs=dfa1.0&amp;vr=2.0&amp;DB=1000546&amp;DocName=11USCAS1325&amp;FindType=L&amp;ReferencePositionType=T&amp;ReferencePosition=SP_226a0000d5fe7" TargetMode="External"/><Relationship Id="rId315" Type="http://schemas.openxmlformats.org/officeDocument/2006/relationships/hyperlink" Target="http://www.westlaw.com/Find/Default.wl?rs=dfa1.0&amp;vr=2.0&amp;DB=506&amp;FindType=Y&amp;ReferencePositionType=S&amp;SerialNum=2012518723&amp;ReferencePosition=125" TargetMode="External"/><Relationship Id="rId357" Type="http://schemas.openxmlformats.org/officeDocument/2006/relationships/hyperlink" Target="http://www.westlaw.com/Find/Default.wl?rs=dfa1.0&amp;vr=2.0&amp;DB=1000546&amp;DocName=11USCAS1325&amp;FindType=L&amp;ReferencePositionType=T&amp;ReferencePosition=SP_1eca000045f07" TargetMode="External"/><Relationship Id="rId54" Type="http://schemas.openxmlformats.org/officeDocument/2006/relationships/hyperlink" Target="http://www.westlaw.com/KeyNumber/Default.wl?rs=dfa1.0&amp;vr=2.0&amp;CMD=KEY&amp;DocName=51" TargetMode="External"/><Relationship Id="rId96" Type="http://schemas.openxmlformats.org/officeDocument/2006/relationships/hyperlink" Target="http://www.westlaw.com/KeyNumber/Default.wl?rs=dfa1.0&amp;vr=2.0&amp;CMD=KEY&amp;DocName=51k3705" TargetMode="External"/><Relationship Id="rId161" Type="http://schemas.openxmlformats.org/officeDocument/2006/relationships/hyperlink" Target="http://www.westlaw.com/Find/Default.wl?rs=dfa1.0&amp;vr=2.0&amp;DB=1000546&amp;DocName=11USCAS1325&amp;FindType=L&amp;ReferencePositionType=T&amp;ReferencePosition=SP_3fed000053a85" TargetMode="External"/><Relationship Id="rId217" Type="http://schemas.openxmlformats.org/officeDocument/2006/relationships/hyperlink" Target="http://www.westlaw.com/Find/Default.wl?rs=dfa1.0&amp;vr=2.0&amp;DB=1000546&amp;DocName=42USCAS403&amp;FindType=L&amp;ReferencePositionType=T&amp;ReferencePosition=SP_f8fc0000f70d0" TargetMode="External"/><Relationship Id="rId399" Type="http://schemas.openxmlformats.org/officeDocument/2006/relationships/hyperlink" Target="http://www.westlaw.com/Find/Default.wl?rs=dfa1.0&amp;vr=2.0&amp;DB=1000546&amp;DocName=11USCAS521&amp;FindType=L&amp;ReferencePositionType=T&amp;ReferencePosition=SP_17a3000024864" TargetMode="External"/><Relationship Id="rId259" Type="http://schemas.openxmlformats.org/officeDocument/2006/relationships/hyperlink" Target="http://www.westlaw.com/Find/Default.wl?rs=dfa1.0&amp;vr=2.0&amp;FindType=Y&amp;SerialNum=1990065945" TargetMode="External"/><Relationship Id="rId424" Type="http://schemas.openxmlformats.org/officeDocument/2006/relationships/header" Target="header4.xml"/><Relationship Id="rId466" Type="http://schemas.openxmlformats.org/officeDocument/2006/relationships/header" Target="header7.xml"/><Relationship Id="rId23" Type="http://schemas.openxmlformats.org/officeDocument/2006/relationships/hyperlink" Target="http://www.westlaw.com/Digest/Default.wl?rs=dfa1.0&amp;vr=2.0&amp;CMD=MCC&amp;DocName=51k3705" TargetMode="External"/><Relationship Id="rId119" Type="http://schemas.openxmlformats.org/officeDocument/2006/relationships/hyperlink" Target="http://www.westlaw.com/Find/Default.wl?rs=dfa1.0&amp;vr=2.0&amp;DB=1000546&amp;DocName=11USCAS1325&amp;FindType=L" TargetMode="External"/><Relationship Id="rId270" Type="http://schemas.openxmlformats.org/officeDocument/2006/relationships/hyperlink" Target="http://www.westlaw.com/Find/Default.wl?rs=dfa1.0&amp;vr=2.0&amp;DB=708&amp;FindType=Y&amp;SerialNum=1991022020" TargetMode="External"/><Relationship Id="rId326" Type="http://schemas.openxmlformats.org/officeDocument/2006/relationships/hyperlink" Target="http://www.westlaw.com/Find/Default.wl?rs=dfa1.0&amp;vr=2.0&amp;DB=1000546&amp;DocName=11USCAS342&amp;FindType=L" TargetMode="External"/><Relationship Id="rId65" Type="http://schemas.openxmlformats.org/officeDocument/2006/relationships/hyperlink" Target="http://www.westlaw.com/Digest/Default.wl?rs=dfa1.0&amp;vr=2.0&amp;CMD=MCC&amp;DocName=361k188" TargetMode="External"/><Relationship Id="rId130" Type="http://schemas.openxmlformats.org/officeDocument/2006/relationships/hyperlink" Target="http://www.westlaw.com/Find/Default.wl?rs=dfa1.0&amp;vr=2.0&amp;DB=PROFILER-WLD&amp;DocName=0243105201&amp;FindType=h" TargetMode="External"/><Relationship Id="rId368" Type="http://schemas.openxmlformats.org/officeDocument/2006/relationships/hyperlink" Target="http://www.westlaw.com/Find/Default.wl?rs=dfa1.0&amp;vr=2.0&amp;DB=1000546&amp;DocName=11USCAS101&amp;FindType=L&amp;ReferencePositionType=T&amp;ReferencePosition=SP_dab50000fadb6" TargetMode="External"/><Relationship Id="rId172" Type="http://schemas.openxmlformats.org/officeDocument/2006/relationships/hyperlink" Target="http://www.westlaw.com/Find/Default.wl?rs=dfa1.0&amp;vr=2.0&amp;DB=1000546&amp;DocName=11USCAS1325&amp;FindType=L&amp;ReferencePositionType=T&amp;ReferencePosition=SP_609d000059b95" TargetMode="External"/><Relationship Id="rId228" Type="http://schemas.openxmlformats.org/officeDocument/2006/relationships/hyperlink" Target="http://www.westlaw.com/Find/Default.wl?rs=dfa1.0&amp;vr=2.0&amp;DB=164&amp;FindType=Y&amp;ReferencePositionType=S&amp;SerialNum=2001289110&amp;ReferencePosition=514" TargetMode="External"/><Relationship Id="rId435" Type="http://schemas.openxmlformats.org/officeDocument/2006/relationships/hyperlink" Target="http://www.westlaw.com/KeyCite/Default.wl?rs=dfa1.0&amp;vr=2.0&amp;CMD=KC&amp;SerialNum=2014356642&amp;HistoryType=N" TargetMode="External"/><Relationship Id="rId477" Type="http://schemas.openxmlformats.org/officeDocument/2006/relationships/image" Target="media/image6.png"/><Relationship Id="rId281" Type="http://schemas.openxmlformats.org/officeDocument/2006/relationships/hyperlink" Target="http://www.westlaw.com/Find/Default.wl?rs=dfa1.0&amp;vr=2.0&amp;DB=1000546&amp;DocName=11USCAS1327&amp;FindType=L&amp;ReferencePositionType=T&amp;ReferencePosition=SP_8b3b0000958a4" TargetMode="External"/><Relationship Id="rId337" Type="http://schemas.openxmlformats.org/officeDocument/2006/relationships/hyperlink" Target="http://www.westlaw.com/Find/Default.wl?rs=dfa1.0&amp;vr=2.0&amp;DB=1000546&amp;DocName=11USCAS1325&amp;FindType=L&amp;ReferencePositionType=T&amp;ReferencePosition=SP_c0ae00006c482" TargetMode="External"/><Relationship Id="rId502" Type="http://schemas.openxmlformats.org/officeDocument/2006/relationships/hyperlink" Target="http://www.westlaw.com/Find/Default.wl?rs=dfa1.0&amp;vr=2.0&amp;FindType=1&amp;SerialNum=2022512867&amp;CaseCite=+SCt+&amp;CaseSerial=2022242875" TargetMode="External"/><Relationship Id="rId34" Type="http://schemas.openxmlformats.org/officeDocument/2006/relationships/hyperlink" Target="http://www.westlaw.com/KeyNumber/Default.wl?rs=dfa1.0&amp;vr=2.0&amp;CMD=KEY&amp;DocName=51k2021" TargetMode="External"/><Relationship Id="rId76" Type="http://schemas.openxmlformats.org/officeDocument/2006/relationships/hyperlink" Target="http://www.westlaw.com/KeyNumber/Default.wl?rs=dfa1.0&amp;vr=2.0&amp;CMD=KEY&amp;DocName=51k2021.1" TargetMode="External"/><Relationship Id="rId141" Type="http://schemas.openxmlformats.org/officeDocument/2006/relationships/hyperlink" Target="http://www.westlaw.com/Find/Default.wl?rs=dfa1.0&amp;vr=2.0&amp;DB=PROFILER-WLD&amp;DocName=0223495501&amp;FindType=h" TargetMode="External"/><Relationship Id="rId379" Type="http://schemas.openxmlformats.org/officeDocument/2006/relationships/hyperlink" Target="http://www.westlaw.com/Find/Default.wl?rs=dfa1.0&amp;vr=2.0&amp;DB=1000546&amp;DocName=11USCAS1322&amp;FindType=L" TargetMode="External"/><Relationship Id="rId7" Type="http://schemas.openxmlformats.org/officeDocument/2006/relationships/header" Target="header1.xml"/><Relationship Id="rId183" Type="http://schemas.openxmlformats.org/officeDocument/2006/relationships/hyperlink" Target="http://www.westlaw.com/Find/Default.wl?rs=dfa1.0&amp;vr=2.0&amp;DB=1000546&amp;DocName=11USCAS1325&amp;FindType=L&amp;ReferencePositionType=T&amp;ReferencePosition=SP_3fed000053a85" TargetMode="External"/><Relationship Id="rId239" Type="http://schemas.openxmlformats.org/officeDocument/2006/relationships/hyperlink" Target="http://www.westlaw.com/Find/Default.wl?rs=dfa1.0&amp;vr=2.0&amp;DB=164&amp;FindType=Y&amp;ReferencePositionType=S&amp;SerialNum=2016362560&amp;ReferencePosition=892" TargetMode="External"/><Relationship Id="rId390" Type="http://schemas.openxmlformats.org/officeDocument/2006/relationships/hyperlink" Target="http://www.westlaw.com/Find/Default.wl?rs=dfa1.0&amp;vr=2.0&amp;FindType=Y&amp;SerialNum=1986131531" TargetMode="External"/><Relationship Id="rId404" Type="http://schemas.openxmlformats.org/officeDocument/2006/relationships/hyperlink" Target="http://www.westlaw.com/Find/Default.wl?rs=dfa1.0&amp;vr=2.0&amp;DB=164&amp;FindType=Y&amp;ReferencePositionType=S&amp;SerialNum=2003077835&amp;ReferencePosition=519" TargetMode="External"/><Relationship Id="rId446" Type="http://schemas.openxmlformats.org/officeDocument/2006/relationships/hyperlink" Target="http://www.westlaw.com/Find/Default.wl?rs=dfa1.0&amp;vr=2.0&amp;FindType=2&amp;SerialNum=2021396509&amp;CaseCite=---+S.Ct.+----&amp;CaseSerial=2022242875" TargetMode="External"/><Relationship Id="rId250" Type="http://schemas.openxmlformats.org/officeDocument/2006/relationships/hyperlink" Target="http://www.westlaw.com/Find/Default.wl?rs=dfa1.0&amp;vr=2.0&amp;DB=506&amp;FindType=Y&amp;SerialNum=1995211614" TargetMode="External"/><Relationship Id="rId292" Type="http://schemas.openxmlformats.org/officeDocument/2006/relationships/hyperlink" Target="http://www.westlaw.com/Find/Default.wl?rs=dfa1.0&amp;vr=2.0&amp;FindType=Y&amp;SerialNum=2019402498" TargetMode="External"/><Relationship Id="rId306" Type="http://schemas.openxmlformats.org/officeDocument/2006/relationships/hyperlink" Target="http://www.westlaw.com/Find/Default.wl?rs=dfa1.0&amp;vr=2.0&amp;DB=1000546&amp;DocName=11USCAS707&amp;FindType=L" TargetMode="External"/><Relationship Id="rId488" Type="http://schemas.openxmlformats.org/officeDocument/2006/relationships/hyperlink" Target="http://www.westlaw.com/Find/Default.wl?rs=dfa1.0&amp;vr=2.0&amp;FindType=1&amp;SerialNum=2022422113&amp;CaseCite=+SCt+&amp;CaseSerial=2022242875" TargetMode="External"/><Relationship Id="rId45" Type="http://schemas.openxmlformats.org/officeDocument/2006/relationships/hyperlink" Target="http://www.westlaw.com/KeyNumber/Default.wl?rs=dfa1.0&amp;vr=2.0&amp;CMD=KEY&amp;DocName=51" TargetMode="External"/><Relationship Id="rId87" Type="http://schemas.openxmlformats.org/officeDocument/2006/relationships/hyperlink" Target="http://www.westlaw.com/KeyNumber/Default.wl?rs=dfa1.0&amp;vr=2.0&amp;CMD=KEY&amp;DocName=51XVIII" TargetMode="External"/><Relationship Id="rId110" Type="http://schemas.openxmlformats.org/officeDocument/2006/relationships/hyperlink" Target="http://www.westlaw.com/Find/Default.wl?rs=dfa1.0&amp;vr=2.0&amp;DB=1000546&amp;DocName=11USCAS1325&amp;FindType=L&amp;ReferencePositionType=T&amp;ReferencePosition=SP_226a0000d5fe7" TargetMode="External"/><Relationship Id="rId348" Type="http://schemas.openxmlformats.org/officeDocument/2006/relationships/hyperlink" Target="http://www.westlaw.com/Find/Default.wl?rs=dfa1.0&amp;vr=2.0&amp;DB=1000546&amp;DocName=11USCAS1325&amp;FindType=L&amp;ReferencePositionType=T&amp;ReferencePosition=SP_c0ae00006c482" TargetMode="External"/><Relationship Id="rId513" Type="http://schemas.openxmlformats.org/officeDocument/2006/relationships/theme" Target="theme/theme1.xml"/><Relationship Id="rId152" Type="http://schemas.openxmlformats.org/officeDocument/2006/relationships/hyperlink" Target="http://www.westlaw.com/Find/Default.wl?rs=dfa1.0&amp;vr=2.0&amp;DB=1000546&amp;DocName=11USCAS101&amp;FindType=L&amp;ReferencePositionType=T&amp;ReferencePosition=SP_5b320000bf834" TargetMode="External"/><Relationship Id="rId194" Type="http://schemas.openxmlformats.org/officeDocument/2006/relationships/hyperlink" Target="http://www.westlaw.com/Find/Default.wl?rs=dfa1.0&amp;vr=2.0&amp;DB=708&amp;FindType=Y&amp;SerialNum=2018085415" TargetMode="External"/><Relationship Id="rId208" Type="http://schemas.openxmlformats.org/officeDocument/2006/relationships/hyperlink" Target="http://www.westlaw.com/Find/Default.wl?rs=dfa1.0&amp;vr=2.0&amp;DB=1000546&amp;DocName=15USCAS719C&amp;FindType=L&amp;ReferencePositionType=T&amp;ReferencePosition=SP_fcf30000ea9c4" TargetMode="External"/><Relationship Id="rId415" Type="http://schemas.openxmlformats.org/officeDocument/2006/relationships/hyperlink" Target="http://www.westlaw.com/Find/Default.wl?rs=dfa1.0&amp;vr=2.0&amp;FindType=Y&amp;SerialNum=2003077835" TargetMode="External"/><Relationship Id="rId457" Type="http://schemas.openxmlformats.org/officeDocument/2006/relationships/hyperlink" Target="http://www.westlaw.com/Find/Default.wl?rs=dfa1.0&amp;vr=2.0&amp;FindType=2&amp;SerialNum=2021176073&amp;CaseCite=---+S.Ct.+----&amp;CaseSerial=2022242875" TargetMode="External"/><Relationship Id="rId240" Type="http://schemas.openxmlformats.org/officeDocument/2006/relationships/hyperlink" Target="http://www.westlaw.com/Find/Default.wl?rs=dfa1.0&amp;vr=2.0&amp;DB=164&amp;FindType=Y&amp;ReferencePositionType=S&amp;SerialNum=2016362560&amp;ReferencePosition=892" TargetMode="External"/><Relationship Id="rId261" Type="http://schemas.openxmlformats.org/officeDocument/2006/relationships/hyperlink" Target="http://www.westlaw.com/Find/Default.wl?rs=dfa1.0&amp;vr=2.0&amp;DB=350&amp;FindType=Y&amp;ReferencePositionType=S&amp;SerialNum=1987108880&amp;ReferencePosition=1226" TargetMode="External"/><Relationship Id="rId478" Type="http://schemas.openxmlformats.org/officeDocument/2006/relationships/header" Target="header12.xml"/><Relationship Id="rId499" Type="http://schemas.openxmlformats.org/officeDocument/2006/relationships/hyperlink" Target="http://www.westlaw.com/Find/Default.wl?rs=dfa1.0&amp;vr=2.0&amp;FindType=1&amp;SerialNum=2022370836&amp;CaseCite=+SCt+&amp;CaseSerial=2022242875" TargetMode="External"/><Relationship Id="rId14" Type="http://schemas.openxmlformats.org/officeDocument/2006/relationships/hyperlink" Target="http://www.westlaw.com/Find/Default.wl?rs=dfa1.0&amp;vr=2.0&amp;DB=164&amp;FindType=Y&amp;SerialNum=2014356642" TargetMode="External"/><Relationship Id="rId35" Type="http://schemas.openxmlformats.org/officeDocument/2006/relationships/hyperlink" Target="http://www.westlaw.com/KeyNumber/Default.wl?rs=dfa1.0&amp;vr=2.0&amp;CMD=KEY&amp;DocName=51k2021.1" TargetMode="External"/><Relationship Id="rId56" Type="http://schemas.openxmlformats.org/officeDocument/2006/relationships/hyperlink" Target="http://www.westlaw.com/KeyNumber/Default.wl?rs=dfa1.0&amp;vr=2.0&amp;CMD=KEY&amp;DocName=51k3704" TargetMode="External"/><Relationship Id="rId77" Type="http://schemas.openxmlformats.org/officeDocument/2006/relationships/hyperlink" Target="http://www.westlaw.com/Digest/Default.wl?rs=dfa1.0&amp;vr=2.0&amp;CMD=MCC&amp;DocName=51k2021.1" TargetMode="External"/><Relationship Id="rId100" Type="http://schemas.openxmlformats.org/officeDocument/2006/relationships/hyperlink" Target="http://www.westlaw.com/KeyNumber/Default.wl?rs=dfa1.0&amp;vr=2.0&amp;CMD=KEY&amp;DocName=51III" TargetMode="External"/><Relationship Id="rId282" Type="http://schemas.openxmlformats.org/officeDocument/2006/relationships/hyperlink" Target="http://www.westlaw.com/Find/Default.wl?rs=dfa1.0&amp;vr=2.0&amp;DB=1004365&amp;DocName=USFRBPR3015&amp;FindType=L" TargetMode="External"/><Relationship Id="rId317" Type="http://schemas.openxmlformats.org/officeDocument/2006/relationships/hyperlink" Target="http://www.westlaw.com/Find/Default.wl?rs=dfa1.0&amp;vr=2.0&amp;DB=350&amp;FindType=Y&amp;ReferencePositionType=S&amp;SerialNum=1986131531&amp;ReferencePosition=153" TargetMode="External"/><Relationship Id="rId338" Type="http://schemas.openxmlformats.org/officeDocument/2006/relationships/hyperlink" Target="http://www.westlaw.com/Find/Default.wl?rs=dfa1.0&amp;vr=2.0&amp;DB=1000546&amp;DocName=11USCAS101&amp;FindType=L&amp;ReferencePositionType=T&amp;ReferencePosition=SP_dab50000fadb6" TargetMode="External"/><Relationship Id="rId359" Type="http://schemas.openxmlformats.org/officeDocument/2006/relationships/hyperlink" Target="http://www.westlaw.com/Find/Default.wl?rs=dfa1.0&amp;vr=2.0&amp;DB=1000546&amp;DocName=11USCAS1325&amp;FindType=L&amp;ReferencePositionType=T&amp;ReferencePosition=SP_424e0000ad683" TargetMode="External"/><Relationship Id="rId503" Type="http://schemas.openxmlformats.org/officeDocument/2006/relationships/hyperlink" Target="http://www.westlaw.com/KeyCite/Default.wl?rs=dfa1.0&amp;vr=2.0&amp;CMD=KC&amp;SerialNum=1997175962&amp;HistoryType=C" TargetMode="External"/><Relationship Id="rId8" Type="http://schemas.openxmlformats.org/officeDocument/2006/relationships/footer" Target="footer1.xml"/><Relationship Id="rId98" Type="http://schemas.openxmlformats.org/officeDocument/2006/relationships/hyperlink" Target="http://www.westlaw.com/Find/Default.wl?rs=dfa1.0&amp;vr=2.0&amp;DB=1000546&amp;DocName=11USCAS1325&amp;FindType=L&amp;ReferencePositionType=T&amp;ReferencePosition=SP_1496000051ed7" TargetMode="External"/><Relationship Id="rId121" Type="http://schemas.openxmlformats.org/officeDocument/2006/relationships/hyperlink" Target="http://www.westlaw.com/Find/Default.wl?rs=dfa1.0&amp;vr=2.0&amp;DB=1000546&amp;DocName=11USCAS1325&amp;FindType=L&amp;ReferencePositionType=T&amp;ReferencePosition=SP_3fed000053a85" TargetMode="External"/><Relationship Id="rId142" Type="http://schemas.openxmlformats.org/officeDocument/2006/relationships/hyperlink" Target="http://www.westlaw.com/Find/Default.wl?rs=dfa1.0&amp;vr=2.0&amp;DB=PROFILER-WLD&amp;DocName=0122985601&amp;FindType=h" TargetMode="External"/><Relationship Id="rId163" Type="http://schemas.openxmlformats.org/officeDocument/2006/relationships/hyperlink" Target="http://www.westlaw.com/Find/Default.wl?rs=dfa1.0&amp;vr=2.0&amp;DB=164&amp;FindType=Y&amp;ReferencePositionType=S&amp;SerialNum=1995126431&amp;ReferencePosition=559" TargetMode="External"/><Relationship Id="rId184" Type="http://schemas.openxmlformats.org/officeDocument/2006/relationships/hyperlink" Target="http://www.westlaw.com/Find/Default.wl?rs=dfa1.0&amp;vr=2.0&amp;FindType=Y&amp;SerialNum=2012282366" TargetMode="External"/><Relationship Id="rId219" Type="http://schemas.openxmlformats.org/officeDocument/2006/relationships/hyperlink" Target="http://www.westlaw.com/Find/Default.wl?rs=dfa1.0&amp;vr=2.0&amp;DB=350&amp;FindType=Y&amp;ReferencePositionType=S&amp;SerialNum=1990065945&amp;ReferencePosition=62" TargetMode="External"/><Relationship Id="rId370" Type="http://schemas.openxmlformats.org/officeDocument/2006/relationships/hyperlink" Target="http://www.westlaw.com/Find/Default.wl?rs=dfa1.0&amp;vr=2.0&amp;DB=1077005&amp;DocName=UU%28I227908A0B2-9C11D99EA0B-AE35EA7F982%29&amp;FindType=l" TargetMode="External"/><Relationship Id="rId391" Type="http://schemas.openxmlformats.org/officeDocument/2006/relationships/hyperlink" Target="http://www.westlaw.com/Find/Default.wl?rs=dfa1.0&amp;vr=2.0&amp;DB=708&amp;FindType=Y&amp;SerialNum=1987036775" TargetMode="External"/><Relationship Id="rId405" Type="http://schemas.openxmlformats.org/officeDocument/2006/relationships/hyperlink" Target="http://www.westlaw.com/Find/Default.wl?rs=dfa1.0&amp;vr=2.0&amp;DB=164&amp;FindType=Y&amp;ReferencePositionType=S&amp;SerialNum=2003077835&amp;ReferencePosition=519" TargetMode="External"/><Relationship Id="rId426" Type="http://schemas.openxmlformats.org/officeDocument/2006/relationships/header" Target="header5.xml"/><Relationship Id="rId447" Type="http://schemas.openxmlformats.org/officeDocument/2006/relationships/hyperlink" Target="http://www.westlaw.com/Find/Default.wl?rs=dfa1.0&amp;vr=2.0&amp;FindType=2&amp;SerialNum=2018089408&amp;CaseCite=---+S.Ct.+----&amp;CaseSerial=2022242875" TargetMode="External"/><Relationship Id="rId230" Type="http://schemas.openxmlformats.org/officeDocument/2006/relationships/hyperlink" Target="http://www.westlaw.com/Find/Default.wl?rs=dfa1.0&amp;vr=2.0&amp;DB=164&amp;FindType=Y&amp;ReferencePositionType=S&amp;SerialNum=1996158311&amp;ReferencePosition=826" TargetMode="External"/><Relationship Id="rId251" Type="http://schemas.openxmlformats.org/officeDocument/2006/relationships/hyperlink" Target="http://www.westlaw.com/Find/Default.wl?rs=dfa1.0&amp;vr=2.0&amp;DB=506&amp;FindType=Y&amp;SerialNum=1995211614" TargetMode="External"/><Relationship Id="rId468" Type="http://schemas.openxmlformats.org/officeDocument/2006/relationships/header" Target="header8.xml"/><Relationship Id="rId489" Type="http://schemas.openxmlformats.org/officeDocument/2006/relationships/hyperlink" Target="http://www.westlaw.com/Find/Default.wl?rs=dfa1.0&amp;vr=2.0&amp;FindType=1&amp;SerialNum=2022404353&amp;CaseCite=+SCt+&amp;CaseSerial=2022242875" TargetMode="External"/><Relationship Id="rId25" Type="http://schemas.openxmlformats.org/officeDocument/2006/relationships/hyperlink" Target="http://www.westlaw.com/KeyNumber/Default.wl?rs=dfa1.0&amp;vr=2.0&amp;CMD=KEY&amp;DocName=51XVIII" TargetMode="External"/><Relationship Id="rId46" Type="http://schemas.openxmlformats.org/officeDocument/2006/relationships/hyperlink" Target="http://www.westlaw.com/KeyNumber/Default.wl?rs=dfa1.0&amp;vr=2.0&amp;CMD=KEY&amp;DocName=51XVIII" TargetMode="External"/><Relationship Id="rId67" Type="http://schemas.openxmlformats.org/officeDocument/2006/relationships/hyperlink" Target="http://www.westlaw.com/KeyNumber/Default.wl?rs=dfa1.0&amp;vr=2.0&amp;CMD=KEY&amp;DocName=361VI" TargetMode="External"/><Relationship Id="rId272" Type="http://schemas.openxmlformats.org/officeDocument/2006/relationships/hyperlink" Target="http://www.westlaw.com/Find/Default.wl?rs=dfa1.0&amp;vr=2.0&amp;DB=708&amp;FindType=Y&amp;SerialNum=1986155689" TargetMode="External"/><Relationship Id="rId293" Type="http://schemas.openxmlformats.org/officeDocument/2006/relationships/hyperlink" Target="http://www.westlaw.com/Find/Default.wl?rs=dfa1.0&amp;vr=2.0&amp;FindType=Y&amp;SerialNum=2019402498" TargetMode="External"/><Relationship Id="rId307" Type="http://schemas.openxmlformats.org/officeDocument/2006/relationships/hyperlink" Target="http://www.westlaw.com/Find/Default.wl?rs=dfa1.0&amp;vr=2.0&amp;DB=164&amp;FindType=Y&amp;ReferencePositionType=S&amp;SerialNum=2015558592&amp;ReferencePosition=613" TargetMode="External"/><Relationship Id="rId328" Type="http://schemas.openxmlformats.org/officeDocument/2006/relationships/hyperlink" Target="http://www.westlaw.com/Find/Default.wl?rs=dfa1.0&amp;vr=2.0&amp;DB=1000546&amp;DocName=11USCAS707&amp;FindType=L&amp;ReferencePositionType=T&amp;ReferencePosition=SP_fb59000006aa5" TargetMode="External"/><Relationship Id="rId349" Type="http://schemas.openxmlformats.org/officeDocument/2006/relationships/hyperlink" Target="http://www.westlaw.com/Find/Default.wl?rs=dfa1.0&amp;vr=2.0&amp;DB=1000546&amp;DocName=11USCAS1325&amp;FindType=L&amp;ReferencePositionType=T&amp;ReferencePosition=SP_2a4b0000e5562" TargetMode="External"/><Relationship Id="rId88" Type="http://schemas.openxmlformats.org/officeDocument/2006/relationships/hyperlink" Target="http://www.westlaw.com/KeyNumber/Default.wl?rs=dfa1.0&amp;vr=2.0&amp;CMD=KEY&amp;DocName=51k3704" TargetMode="External"/><Relationship Id="rId111" Type="http://schemas.openxmlformats.org/officeDocument/2006/relationships/hyperlink" Target="http://www.westlaw.com/Find/Default.wl?rs=dfa1.0&amp;vr=2.0&amp;DB=1000546&amp;DocName=11USCAS707&amp;FindType=L&amp;ReferencePositionType=T&amp;ReferencePosition=SP_c0ae00006c482" TargetMode="External"/><Relationship Id="rId132" Type="http://schemas.openxmlformats.org/officeDocument/2006/relationships/hyperlink" Target="http://www.westlaw.com/Find/Default.wl?rs=dfa1.0&amp;vr=2.0&amp;DB=PROFILER-WLD&amp;DocName=0224420501&amp;FindType=h" TargetMode="External"/><Relationship Id="rId153" Type="http://schemas.openxmlformats.org/officeDocument/2006/relationships/hyperlink" Target="http://www.westlaw.com/Find/Default.wl?rs=dfa1.0&amp;vr=2.0&amp;DB=1000546&amp;DocName=11USCAS109&amp;FindType=L&amp;ReferencePositionType=T&amp;ReferencePosition=SP_7fdd00001ca15" TargetMode="External"/><Relationship Id="rId174" Type="http://schemas.openxmlformats.org/officeDocument/2006/relationships/hyperlink" Target="http://www.westlaw.com/Find/Default.wl?rs=dfa1.0&amp;vr=2.0&amp;DB=164&amp;FindType=Y&amp;ReferencePositionType=S&amp;SerialNum=2015558592&amp;ReferencePosition=606" TargetMode="External"/><Relationship Id="rId195" Type="http://schemas.openxmlformats.org/officeDocument/2006/relationships/hyperlink" Target="http://www.westlaw.com/Find/Default.wl?rs=dfa1.0&amp;vr=2.0&amp;DB=1000546&amp;DocName=11USCAS1325&amp;FindType=L" TargetMode="External"/><Relationship Id="rId209" Type="http://schemas.openxmlformats.org/officeDocument/2006/relationships/hyperlink" Target="http://www.westlaw.com/Find/Default.wl?rs=dfa1.0&amp;vr=2.0&amp;DB=1000546&amp;DocName=25USCAS2009&amp;FindType=L&amp;ReferencePositionType=T&amp;ReferencePosition=SP_4b24000003ba5" TargetMode="External"/><Relationship Id="rId360" Type="http://schemas.openxmlformats.org/officeDocument/2006/relationships/hyperlink" Target="http://www.westlaw.com/Find/Default.wl?rs=dfa1.0&amp;vr=2.0&amp;DB=1000546&amp;DocName=11USCAS1325&amp;FindType=L&amp;ReferencePositionType=T&amp;ReferencePosition=SP_226a0000d5fe7" TargetMode="External"/><Relationship Id="rId381" Type="http://schemas.openxmlformats.org/officeDocument/2006/relationships/hyperlink" Target="http://www.westlaw.com/Find/Default.wl?rs=dfa1.0&amp;vr=2.0&amp;DB=1000546&amp;DocName=11USCAS1325&amp;FindType=L" TargetMode="External"/><Relationship Id="rId416" Type="http://schemas.openxmlformats.org/officeDocument/2006/relationships/hyperlink" Target="http://www.westlaw.com/Find/Default.wl?rs=dfa1.0&amp;vr=2.0&amp;FindType=Y&amp;SerialNum=2003077835" TargetMode="External"/><Relationship Id="rId220" Type="http://schemas.openxmlformats.org/officeDocument/2006/relationships/hyperlink" Target="http://www.westlaw.com/Find/Default.wl?rs=dfa1.0&amp;vr=2.0&amp;DB=506&amp;FindType=Y&amp;ReferencePositionType=S&amp;SerialNum=1994081645&amp;ReferencePosition=357" TargetMode="External"/><Relationship Id="rId241" Type="http://schemas.openxmlformats.org/officeDocument/2006/relationships/hyperlink" Target="http://www.westlaw.com/Find/Default.wl?rs=dfa1.0&amp;vr=2.0&amp;FindType=Y&amp;SerialNum=2001289110" TargetMode="External"/><Relationship Id="rId437" Type="http://schemas.openxmlformats.org/officeDocument/2006/relationships/hyperlink" Target="http://www.westlaw.com/Find/Default.wl?rs=dfa1.0&amp;vr=2.0&amp;FindType=2&amp;SerialNum=2014356642&amp;CaseCite=---+S.Ct.+----&amp;CaseSerial=2022242875" TargetMode="External"/><Relationship Id="rId458" Type="http://schemas.openxmlformats.org/officeDocument/2006/relationships/hyperlink" Target="http://www.westlaw.com/Find/Default.wl?rs=dfa1.0&amp;vr=2.0&amp;FindType=2&amp;SerialNum=2021682053&amp;CaseCite=---+S.Ct.+----&amp;CaseSerial=2022242875" TargetMode="External"/><Relationship Id="rId479" Type="http://schemas.openxmlformats.org/officeDocument/2006/relationships/footer" Target="footer12.xml"/><Relationship Id="rId15" Type="http://schemas.openxmlformats.org/officeDocument/2006/relationships/hyperlink" Target="http://www.westlaw.com/Find/Default.wl?rs=dfa1.0&amp;vr=2.0&amp;DB=PROFILER-WLD&amp;DocName=0260849601&amp;FindType=h" TargetMode="External"/><Relationship Id="rId36" Type="http://schemas.openxmlformats.org/officeDocument/2006/relationships/hyperlink" Target="http://www.westlaw.com/Digest/Default.wl?rs=dfa1.0&amp;vr=2.0&amp;CMD=MCC&amp;DocName=51k2021.1" TargetMode="External"/><Relationship Id="rId57" Type="http://schemas.openxmlformats.org/officeDocument/2006/relationships/hyperlink" Target="http://www.westlaw.com/KeyNumber/Default.wl?rs=dfa1.0&amp;vr=2.0&amp;CMD=KEY&amp;DocName=51k3705" TargetMode="External"/><Relationship Id="rId262" Type="http://schemas.openxmlformats.org/officeDocument/2006/relationships/hyperlink" Target="http://www.westlaw.com/Find/Default.wl?rs=dfa1.0&amp;vr=2.0&amp;DB=350&amp;FindType=Y&amp;ReferencePositionType=S&amp;SerialNum=1987108880&amp;ReferencePosition=1226" TargetMode="External"/><Relationship Id="rId283" Type="http://schemas.openxmlformats.org/officeDocument/2006/relationships/hyperlink" Target="http://www.westlaw.com/Find/Default.wl?rs=dfa1.0&amp;vr=2.0&amp;DB=506&amp;FindType=Y&amp;ReferencePositionType=S&amp;SerialNum=2017444304&amp;ReferencePosition=1279" TargetMode="External"/><Relationship Id="rId318" Type="http://schemas.openxmlformats.org/officeDocument/2006/relationships/hyperlink" Target="http://www.westlaw.com/Find/Default.wl?rs=dfa1.0&amp;vr=2.0&amp;DB=350&amp;FindType=Y&amp;ReferencePositionType=S&amp;SerialNum=1986131531&amp;ReferencePosition=153" TargetMode="External"/><Relationship Id="rId339" Type="http://schemas.openxmlformats.org/officeDocument/2006/relationships/hyperlink" Target="http://www.westlaw.com/Find/Default.wl?rs=dfa1.0&amp;vr=2.0&amp;DB=1000546&amp;DocName=11USCAS521&amp;FindType=L&amp;ReferencePositionType=T&amp;ReferencePosition=SP_7af40000b0da6" TargetMode="External"/><Relationship Id="rId490" Type="http://schemas.openxmlformats.org/officeDocument/2006/relationships/hyperlink" Target="http://www.westlaw.com/Find/Default.wl?rs=dfa1.0&amp;vr=2.0&amp;FindType=1&amp;SerialNum=2022452585&amp;CaseCite=+SCt+&amp;CaseSerial=2022242875" TargetMode="External"/><Relationship Id="rId504" Type="http://schemas.openxmlformats.org/officeDocument/2006/relationships/hyperlink" Target="http://www.westlaw.com/Find/Default.wl?rs=dfa1.0&amp;vr=2.0&amp;FindType=1&amp;SerialNum=1997175962&amp;CaseCite=+SCt+&amp;CaseSerial=2022242875" TargetMode="External"/><Relationship Id="rId78" Type="http://schemas.openxmlformats.org/officeDocument/2006/relationships/hyperlink" Target="http://www.westlaw.com/KeyNumber/Default.wl?rs=dfa1.0&amp;vr=2.0&amp;CMD=KEY&amp;DocName=51" TargetMode="External"/><Relationship Id="rId99" Type="http://schemas.openxmlformats.org/officeDocument/2006/relationships/hyperlink" Target="http://www.westlaw.com/KeyNumber/Default.wl?rs=dfa1.0&amp;vr=2.0&amp;CMD=KEY&amp;DocName=51" TargetMode="External"/><Relationship Id="rId101" Type="http://schemas.openxmlformats.org/officeDocument/2006/relationships/hyperlink" Target="http://www.westlaw.com/KeyNumber/Default.wl?rs=dfa1.0&amp;vr=2.0&amp;CMD=KEY&amp;DocName=51III%28F%29" TargetMode="External"/><Relationship Id="rId122" Type="http://schemas.openxmlformats.org/officeDocument/2006/relationships/hyperlink" Target="http://www.westlaw.com/Find/Default.wl?rs=dfa1.0&amp;vr=2.0&amp;DB=1000546&amp;DocName=11USCAS1325&amp;FindType=L&amp;ReferencePositionType=T&amp;ReferencePosition=SP_2a4b0000e5562" TargetMode="External"/><Relationship Id="rId143" Type="http://schemas.openxmlformats.org/officeDocument/2006/relationships/hyperlink" Target="http://www.westlaw.com/Find/Default.wl?rs=dfa1.0&amp;vr=2.0&amp;DB=PROFILER-WLD&amp;DocName=0324704201&amp;FindType=h" TargetMode="External"/><Relationship Id="rId164" Type="http://schemas.openxmlformats.org/officeDocument/2006/relationships/hyperlink" Target="http://www.westlaw.com/Find/Default.wl?rs=dfa1.0&amp;vr=2.0&amp;DB=164&amp;FindType=Y&amp;ReferencePositionType=S&amp;SerialNum=1995126431&amp;ReferencePosition=559" TargetMode="External"/><Relationship Id="rId185" Type="http://schemas.openxmlformats.org/officeDocument/2006/relationships/hyperlink" Target="http://www.westlaw.com/Find/Default.wl?rs=dfa1.0&amp;vr=2.0&amp;FindType=Y&amp;SerialNum=2012282366" TargetMode="External"/><Relationship Id="rId350" Type="http://schemas.openxmlformats.org/officeDocument/2006/relationships/hyperlink" Target="http://www.westlaw.com/Find/Default.wl?rs=dfa1.0&amp;vr=2.0&amp;DB=1000546&amp;DocName=11USCAS1325&amp;FindType=L&amp;ReferencePositionType=T&amp;ReferencePosition=SP_c0ae00006c482" TargetMode="External"/><Relationship Id="rId371" Type="http://schemas.openxmlformats.org/officeDocument/2006/relationships/hyperlink" Target="http://www.westlaw.com/Find/Default.wl?rs=dfa1.0&amp;vr=2.0&amp;DB=708&amp;FindType=Y&amp;SerialNum=1990084113" TargetMode="External"/><Relationship Id="rId406" Type="http://schemas.openxmlformats.org/officeDocument/2006/relationships/hyperlink" Target="http://www.westlaw.com/Find/Default.wl?rs=dfa1.0&amp;vr=2.0&amp;FindType=Y&amp;SerialNum=2003077835" TargetMode="External"/><Relationship Id="rId9" Type="http://schemas.openxmlformats.org/officeDocument/2006/relationships/header" Target="header2.xml"/><Relationship Id="rId210" Type="http://schemas.openxmlformats.org/officeDocument/2006/relationships/hyperlink" Target="http://www.westlaw.com/Find/Default.wl?rs=dfa1.0&amp;vr=2.0&amp;DB=1000546&amp;DocName=25USCAS2009&amp;FindType=L&amp;ReferencePositionType=T&amp;ReferencePosition=SP_58730000872b1" TargetMode="External"/><Relationship Id="rId392" Type="http://schemas.openxmlformats.org/officeDocument/2006/relationships/hyperlink" Target="http://www.westlaw.com/Find/Default.wl?rs=dfa1.0&amp;vr=2.0&amp;DB=708&amp;FindType=Y&amp;SerialNum=1987036775" TargetMode="External"/><Relationship Id="rId427" Type="http://schemas.openxmlformats.org/officeDocument/2006/relationships/footer" Target="footer5.xml"/><Relationship Id="rId448" Type="http://schemas.openxmlformats.org/officeDocument/2006/relationships/hyperlink" Target="http://www.westlaw.com/Find/Default.wl?rs=dfa1.0&amp;vr=2.0&amp;FindType=2&amp;SerialNum=2019951387&amp;CaseCite=---+S.Ct.+----&amp;CaseSerial=2022242875" TargetMode="External"/><Relationship Id="rId469" Type="http://schemas.openxmlformats.org/officeDocument/2006/relationships/footer" Target="footer8.xml"/><Relationship Id="rId26" Type="http://schemas.openxmlformats.org/officeDocument/2006/relationships/hyperlink" Target="http://www.westlaw.com/KeyNumber/Default.wl?rs=dfa1.0&amp;vr=2.0&amp;CMD=KEY&amp;DocName=51k3704" TargetMode="External"/><Relationship Id="rId231" Type="http://schemas.openxmlformats.org/officeDocument/2006/relationships/hyperlink" Target="http://www.westlaw.com/Find/Default.wl?rs=dfa1.0&amp;vr=2.0&amp;DB=164&amp;FindType=Y&amp;ReferencePositionType=S&amp;SerialNum=1996158311&amp;ReferencePosition=826" TargetMode="External"/><Relationship Id="rId252" Type="http://schemas.openxmlformats.org/officeDocument/2006/relationships/hyperlink" Target="http://www.westlaw.com/Find/Default.wl?rs=dfa1.0&amp;vr=2.0&amp;FindType=Y&amp;SerialNum=1995211614" TargetMode="External"/><Relationship Id="rId273" Type="http://schemas.openxmlformats.org/officeDocument/2006/relationships/hyperlink" Target="http://www.westlaw.com/Find/Default.wl?rs=dfa1.0&amp;vr=2.0&amp;DB=1000546&amp;DocName=26USCAS279&amp;FindType=L&amp;ReferencePositionType=T&amp;ReferencePosition=SP_773400008cd46" TargetMode="External"/><Relationship Id="rId294" Type="http://schemas.openxmlformats.org/officeDocument/2006/relationships/hyperlink" Target="http://www.westlaw.com/Find/Default.wl?rs=dfa1.0&amp;vr=2.0&amp;DB=1000546&amp;DocName=11USCAS1325&amp;FindType=L&amp;ReferencePositionType=T&amp;ReferencePosition=SP_c0ae00006c482" TargetMode="External"/><Relationship Id="rId308" Type="http://schemas.openxmlformats.org/officeDocument/2006/relationships/hyperlink" Target="http://www.westlaw.com/Find/Default.wl?rs=dfa1.0&amp;vr=2.0&amp;DB=164&amp;FindType=Y&amp;ReferencePositionType=S&amp;SerialNum=2015558592&amp;ReferencePosition=613" TargetMode="External"/><Relationship Id="rId329" Type="http://schemas.openxmlformats.org/officeDocument/2006/relationships/hyperlink" Target="http://www.westlaw.com/Find/Default.wl?rs=dfa1.0&amp;vr=2.0&amp;DB=1000546&amp;DocName=11USCAS707&amp;FindType=L" TargetMode="External"/><Relationship Id="rId480" Type="http://schemas.openxmlformats.org/officeDocument/2006/relationships/header" Target="header13.xml"/><Relationship Id="rId47" Type="http://schemas.openxmlformats.org/officeDocument/2006/relationships/hyperlink" Target="http://www.westlaw.com/KeyNumber/Default.wl?rs=dfa1.0&amp;vr=2.0&amp;CMD=KEY&amp;DocName=51k3704" TargetMode="External"/><Relationship Id="rId68" Type="http://schemas.openxmlformats.org/officeDocument/2006/relationships/hyperlink" Target="http://www.westlaw.com/KeyNumber/Default.wl?rs=dfa1.0&amp;vr=2.0&amp;CMD=KEY&amp;DocName=361VI%28A%29" TargetMode="External"/><Relationship Id="rId89" Type="http://schemas.openxmlformats.org/officeDocument/2006/relationships/hyperlink" Target="http://www.westlaw.com/KeyNumber/Default.wl?rs=dfa1.0&amp;vr=2.0&amp;CMD=KEY&amp;DocName=51k3705" TargetMode="External"/><Relationship Id="rId112" Type="http://schemas.openxmlformats.org/officeDocument/2006/relationships/hyperlink" Target="http://www.westlaw.com/Find/Default.wl?rs=dfa1.0&amp;vr=2.0&amp;DB=1000546&amp;DocName=11USCAS1325&amp;FindType=L&amp;ReferencePositionType=T&amp;ReferencePosition=SP_609d000059b95" TargetMode="External"/><Relationship Id="rId133" Type="http://schemas.openxmlformats.org/officeDocument/2006/relationships/hyperlink" Target="http://www.westlaw.com/Find/Default.wl?rs=dfa1.0&amp;vr=2.0&amp;DB=PROFILER-WLD&amp;DocName=0254766801&amp;FindType=h" TargetMode="External"/><Relationship Id="rId154" Type="http://schemas.openxmlformats.org/officeDocument/2006/relationships/hyperlink" Target="http://www.westlaw.com/Find/Default.wl?rs=dfa1.0&amp;vr=2.0&amp;DB=1000546&amp;DocName=28USCAS586&amp;FindType=L&amp;ReferencePositionType=T&amp;ReferencePosition=SP_28cc0000ccca6" TargetMode="External"/><Relationship Id="rId175" Type="http://schemas.openxmlformats.org/officeDocument/2006/relationships/hyperlink" Target="http://www.westlaw.com/Find/Default.wl?rs=dfa1.0&amp;vr=2.0&amp;DB=164&amp;FindType=Y&amp;ReferencePositionType=S&amp;SerialNum=2015558592&amp;ReferencePosition=606" TargetMode="External"/><Relationship Id="rId340" Type="http://schemas.openxmlformats.org/officeDocument/2006/relationships/hyperlink" Target="http://www.westlaw.com/Find/Default.wl?rs=dfa1.0&amp;vr=2.0&amp;DB=1000546&amp;DocName=11USCAS101&amp;FindType=L&amp;ReferencePositionType=T&amp;ReferencePosition=SP_60180000b51a0" TargetMode="External"/><Relationship Id="rId361" Type="http://schemas.openxmlformats.org/officeDocument/2006/relationships/hyperlink" Target="http://www.westlaw.com/Find/Default.wl?rs=dfa1.0&amp;vr=2.0&amp;DB=1000546&amp;DocName=11USCAS101&amp;FindType=L&amp;ReferencePositionType=T&amp;ReferencePosition=SP_60180000b51a0" TargetMode="External"/><Relationship Id="rId196" Type="http://schemas.openxmlformats.org/officeDocument/2006/relationships/hyperlink" Target="http://www.westlaw.com/Find/Default.wl?rs=dfa1.0&amp;vr=2.0&amp;DB=708&amp;FindType=Y&amp;SerialNum=1995030836" TargetMode="External"/><Relationship Id="rId200" Type="http://schemas.openxmlformats.org/officeDocument/2006/relationships/hyperlink" Target="http://www.westlaw.com/Find/Default.wl?rs=dfa1.0&amp;vr=2.0&amp;DB=613&amp;FindType=Y&amp;ReferencePositionType=S&amp;SerialNum=2016886605&amp;ReferencePosition=502" TargetMode="External"/><Relationship Id="rId382" Type="http://schemas.openxmlformats.org/officeDocument/2006/relationships/hyperlink" Target="http://www.westlaw.com/Find/Default.wl?rs=dfa1.0&amp;vr=2.0&amp;DB=1000546&amp;DocName=11USCAS1325&amp;FindType=L&amp;ReferencePositionType=T&amp;ReferencePosition=SP_a83b000018c76" TargetMode="External"/><Relationship Id="rId417" Type="http://schemas.openxmlformats.org/officeDocument/2006/relationships/hyperlink" Target="http://www.westlaw.com/Find/Default.wl?rs=dfa1.0&amp;vr=2.0&amp;DB=1000546&amp;DocName=11USCAS707&amp;FindType=L&amp;ReferencePositionType=T&amp;ReferencePosition=SP_424e0000ad683" TargetMode="External"/><Relationship Id="rId438" Type="http://schemas.openxmlformats.org/officeDocument/2006/relationships/hyperlink" Target="http://www.westlaw.com/KeyCite/Default.wl?rs=dfa1.0&amp;vr=2.0&amp;CMD=KC&amp;SerialNum=2017444304&amp;HistoryType=N" TargetMode="External"/><Relationship Id="rId459" Type="http://schemas.openxmlformats.org/officeDocument/2006/relationships/hyperlink" Target="http://www.westlaw.com/Find/Default.wl?rs=dfa1.0&amp;vr=2.0&amp;FindType=2&amp;SerialNum=2020293758&amp;CaseCite=---+S.Ct.+----&amp;CaseSerial=2022242875" TargetMode="External"/><Relationship Id="rId16" Type="http://schemas.openxmlformats.org/officeDocument/2006/relationships/hyperlink" Target="http://www.westlaw.com/Find/Default.wl?rs=dfa1.0&amp;vr=2.0&amp;DB=506&amp;FindType=Y&amp;SerialNum=2017444304" TargetMode="External"/><Relationship Id="rId221" Type="http://schemas.openxmlformats.org/officeDocument/2006/relationships/hyperlink" Target="http://www.westlaw.com/Find/Default.wl?rs=dfa1.0&amp;vr=2.0&amp;DB=506&amp;FindType=Y&amp;ReferencePositionType=S&amp;SerialNum=1994081645&amp;ReferencePosition=357" TargetMode="External"/><Relationship Id="rId242" Type="http://schemas.openxmlformats.org/officeDocument/2006/relationships/hyperlink" Target="http://www.westlaw.com/Find/Default.wl?rs=dfa1.0&amp;vr=2.0&amp;FindType=Y&amp;SerialNum=2001289110" TargetMode="External"/><Relationship Id="rId263" Type="http://schemas.openxmlformats.org/officeDocument/2006/relationships/hyperlink" Target="http://www.westlaw.com/Find/Default.wl?rs=dfa1.0&amp;vr=2.0&amp;DB=708&amp;FindType=Y&amp;SerialNum=2011721776" TargetMode="External"/><Relationship Id="rId284" Type="http://schemas.openxmlformats.org/officeDocument/2006/relationships/hyperlink" Target="http://www.westlaw.com/Find/Default.wl?rs=dfa1.0&amp;vr=2.0&amp;DB=1000546&amp;DocName=11USCAS1325&amp;FindType=L&amp;ReferencePositionType=T&amp;ReferencePosition=SP_2a4b0000e5562" TargetMode="External"/><Relationship Id="rId319" Type="http://schemas.openxmlformats.org/officeDocument/2006/relationships/hyperlink" Target="http://www.westlaw.com/Find/Default.wl?rs=dfa1.0&amp;vr=2.0&amp;DB=1000546&amp;DocName=11USCAS101&amp;FindType=L&amp;ReferencePositionType=T&amp;ReferencePosition=SP_9ea10000d2c36" TargetMode="External"/><Relationship Id="rId470" Type="http://schemas.openxmlformats.org/officeDocument/2006/relationships/header" Target="header9.xml"/><Relationship Id="rId491" Type="http://schemas.openxmlformats.org/officeDocument/2006/relationships/hyperlink" Target="http://www.westlaw.com/KeyCite/Default.wl?rs=dfa1.0&amp;vr=2.0&amp;CMD=KC&amp;SerialNum=2022422761&amp;HistoryType=F" TargetMode="External"/><Relationship Id="rId505" Type="http://schemas.openxmlformats.org/officeDocument/2006/relationships/hyperlink" Target="http://www.westlaw.com/Find/Default.wl?rs=dfa1.0&amp;vr=2.0&amp;FindType=1&amp;SerialNum=0336690163&amp;CaseCite=+SCt+&amp;CaseSerial=2022242875" TargetMode="External"/><Relationship Id="rId37" Type="http://schemas.openxmlformats.org/officeDocument/2006/relationships/hyperlink" Target="http://www.westlaw.com/Find/Default.wl?rs=dfa1.0&amp;vr=2.0&amp;DB=1000546&amp;DocName=11USCAS101&amp;FindType=L&amp;ReferencePositionType=T&amp;ReferencePosition=SP_60180000b51a0" TargetMode="External"/><Relationship Id="rId58" Type="http://schemas.openxmlformats.org/officeDocument/2006/relationships/hyperlink" Target="http://www.westlaw.com/Digest/Default.wl?rs=dfa1.0&amp;vr=2.0&amp;CMD=MCC&amp;DocName=51k3705" TargetMode="External"/><Relationship Id="rId79" Type="http://schemas.openxmlformats.org/officeDocument/2006/relationships/hyperlink" Target="http://www.westlaw.com/KeyNumber/Default.wl?rs=dfa1.0&amp;vr=2.0&amp;CMD=KEY&amp;DocName=51XVIII" TargetMode="External"/><Relationship Id="rId102" Type="http://schemas.openxmlformats.org/officeDocument/2006/relationships/hyperlink" Target="http://www.westlaw.com/KeyNumber/Default.wl?rs=dfa1.0&amp;vr=2.0&amp;CMD=KEY&amp;DocName=51k2322.5" TargetMode="External"/><Relationship Id="rId123" Type="http://schemas.openxmlformats.org/officeDocument/2006/relationships/hyperlink" Target="http://www.westlaw.com/Find/Default.wl?rs=dfa1.0&amp;vr=2.0&amp;DB=1000546&amp;DocName=11USCAS1325&amp;FindType=L&amp;ReferencePositionType=T&amp;ReferencePosition=SP_c0ae00006c482" TargetMode="External"/><Relationship Id="rId144" Type="http://schemas.openxmlformats.org/officeDocument/2006/relationships/hyperlink" Target="http://www.westlaw.com/Find/Default.wl?rs=dfa1.0&amp;vr=2.0&amp;DB=PROFILER-WLD&amp;DocName=0393273901&amp;FindType=h" TargetMode="External"/><Relationship Id="rId330" Type="http://schemas.openxmlformats.org/officeDocument/2006/relationships/hyperlink" Target="http://www.westlaw.com/Find/Default.wl?rs=dfa1.0&amp;vr=2.0&amp;DB=1000546&amp;DocName=11USCAS1325&amp;FindType=L&amp;ReferencePositionType=T&amp;ReferencePosition=SP_3fed000053a85" TargetMode="External"/><Relationship Id="rId90" Type="http://schemas.openxmlformats.org/officeDocument/2006/relationships/hyperlink" Target="http://www.westlaw.com/Digest/Default.wl?rs=dfa1.0&amp;vr=2.0&amp;CMD=MCC&amp;DocName=51k3705" TargetMode="External"/><Relationship Id="rId165" Type="http://schemas.openxmlformats.org/officeDocument/2006/relationships/hyperlink" Target="http://www.westlaw.com/Find/Default.wl?rs=dfa1.0&amp;vr=2.0&amp;DB=164&amp;FindType=Y&amp;ReferencePositionType=S&amp;SerialNum=2002646756&amp;ReferencePosition=799" TargetMode="External"/><Relationship Id="rId186" Type="http://schemas.openxmlformats.org/officeDocument/2006/relationships/hyperlink" Target="http://www.westlaw.com/Find/Default.wl?rs=dfa1.0&amp;vr=2.0&amp;DB=164&amp;FindType=Y&amp;ReferencePositionType=S&amp;SerialNum=2014356642&amp;ReferencePosition=19" TargetMode="External"/><Relationship Id="rId351" Type="http://schemas.openxmlformats.org/officeDocument/2006/relationships/hyperlink" Target="http://www.westlaw.com/Find/Default.wl?rs=dfa1.0&amp;vr=2.0&amp;DB=1000546&amp;DocName=11USCAS1325&amp;FindType=L&amp;ReferencePositionType=T&amp;ReferencePosition=SP_c0ae00006c482" TargetMode="External"/><Relationship Id="rId372" Type="http://schemas.openxmlformats.org/officeDocument/2006/relationships/hyperlink" Target="http://www.westlaw.com/Find/Default.wl?rs=dfa1.0&amp;vr=2.0&amp;DB=708&amp;FindType=Y&amp;SerialNum=1990084113" TargetMode="External"/><Relationship Id="rId393" Type="http://schemas.openxmlformats.org/officeDocument/2006/relationships/hyperlink" Target="http://www.westlaw.com/Find/Default.wl?rs=dfa1.0&amp;vr=2.0&amp;FindType=Y&amp;SerialNum=1987036775" TargetMode="External"/><Relationship Id="rId407" Type="http://schemas.openxmlformats.org/officeDocument/2006/relationships/hyperlink" Target="http://www.westlaw.com/Find/Default.wl?rs=dfa1.0&amp;vr=2.0&amp;FindType=Y&amp;SerialNum=2003077835" TargetMode="External"/><Relationship Id="rId428" Type="http://schemas.openxmlformats.org/officeDocument/2006/relationships/header" Target="header6.xml"/><Relationship Id="rId449" Type="http://schemas.openxmlformats.org/officeDocument/2006/relationships/hyperlink" Target="http://www.westlaw.com/Find/Default.wl?rs=dfa1.0&amp;vr=2.0&amp;FindType=2&amp;SerialNum=2020861494&amp;CaseCite=---+S.Ct.+----&amp;CaseSerial=2022242875" TargetMode="External"/><Relationship Id="rId211" Type="http://schemas.openxmlformats.org/officeDocument/2006/relationships/hyperlink" Target="http://www.westlaw.com/Find/Default.wl?rs=dfa1.0&amp;vr=2.0&amp;DB=1000546&amp;DocName=11USCAS1325&amp;FindType=L&amp;ReferencePositionType=T&amp;ReferencePosition=SP_d801000002763" TargetMode="External"/><Relationship Id="rId232" Type="http://schemas.openxmlformats.org/officeDocument/2006/relationships/hyperlink" Target="http://www.westlaw.com/Find/Default.wl?rs=dfa1.0&amp;vr=2.0&amp;DB=164&amp;FindType=Y&amp;ReferencePositionType=S&amp;SerialNum=1987059294&amp;ReferencePosition=808" TargetMode="External"/><Relationship Id="rId253" Type="http://schemas.openxmlformats.org/officeDocument/2006/relationships/hyperlink" Target="http://www.westlaw.com/Find/Default.wl?rs=dfa1.0&amp;vr=2.0&amp;FindType=Y&amp;SerialNum=1995211614" TargetMode="External"/><Relationship Id="rId274" Type="http://schemas.openxmlformats.org/officeDocument/2006/relationships/hyperlink" Target="http://www.westlaw.com/Find/Default.wl?rs=dfa1.0&amp;vr=2.0&amp;DB=1000546&amp;DocName=11USCAS1325&amp;FindType=L" TargetMode="External"/><Relationship Id="rId295" Type="http://schemas.openxmlformats.org/officeDocument/2006/relationships/hyperlink" Target="http://www.westlaw.com/Find/Default.wl?rs=dfa1.0&amp;vr=2.0&amp;DB=1000546&amp;DocName=11USCAS1325&amp;FindType=L&amp;ReferencePositionType=T&amp;ReferencePosition=SP_c0ae00006c482" TargetMode="External"/><Relationship Id="rId309" Type="http://schemas.openxmlformats.org/officeDocument/2006/relationships/hyperlink" Target="http://www.westlaw.com/Find/Default.wl?rs=dfa1.0&amp;vr=2.0&amp;DB=164&amp;FindType=Y&amp;ReferencePositionType=S&amp;SerialNum=2015558592&amp;ReferencePosition=613" TargetMode="External"/><Relationship Id="rId460" Type="http://schemas.openxmlformats.org/officeDocument/2006/relationships/hyperlink" Target="http://www.westlaw.com/Find/Default.wl?rs=dfa1.0&amp;vr=2.0&amp;FindType=2&amp;SerialNum=2020293759&amp;CaseCite=---+S.Ct.+----&amp;CaseSerial=2022242875" TargetMode="External"/><Relationship Id="rId481" Type="http://schemas.openxmlformats.org/officeDocument/2006/relationships/footer" Target="footer13.xml"/><Relationship Id="rId27" Type="http://schemas.openxmlformats.org/officeDocument/2006/relationships/hyperlink" Target="http://www.westlaw.com/KeyNumber/Default.wl?rs=dfa1.0&amp;vr=2.0&amp;CMD=KEY&amp;DocName=51k3710" TargetMode="External"/><Relationship Id="rId48" Type="http://schemas.openxmlformats.org/officeDocument/2006/relationships/hyperlink" Target="http://www.westlaw.com/KeyNumber/Default.wl?rs=dfa1.0&amp;vr=2.0&amp;CMD=KEY&amp;DocName=51k3705" TargetMode="External"/><Relationship Id="rId69" Type="http://schemas.openxmlformats.org/officeDocument/2006/relationships/hyperlink" Target="http://www.westlaw.com/KeyNumber/Default.wl?rs=dfa1.0&amp;vr=2.0&amp;CMD=KEY&amp;DocName=361k187" TargetMode="External"/><Relationship Id="rId113" Type="http://schemas.openxmlformats.org/officeDocument/2006/relationships/hyperlink" Target="http://www.westlaw.com/Find/Default.wl?rs=dfa1.0&amp;vr=2.0&amp;DB=708&amp;FindType=Y&amp;SerialNum=1995030836" TargetMode="External"/><Relationship Id="rId134" Type="http://schemas.openxmlformats.org/officeDocument/2006/relationships/hyperlink" Target="http://www.westlaw.com/Find/Default.wl?rs=dfa1.0&amp;vr=2.0&amp;DB=PROFILER-WLD&amp;DocName=0145172701&amp;FindType=h" TargetMode="External"/><Relationship Id="rId320" Type="http://schemas.openxmlformats.org/officeDocument/2006/relationships/hyperlink" Target="http://www.westlaw.com/Find/Default.wl?rs=dfa1.0&amp;vr=2.0&amp;DB=1000546&amp;DocName=11USCAS521&amp;FindType=L&amp;ReferencePositionType=T&amp;ReferencePosition=SP_b4940000fb763" TargetMode="External"/><Relationship Id="rId80" Type="http://schemas.openxmlformats.org/officeDocument/2006/relationships/hyperlink" Target="http://www.westlaw.com/KeyNumber/Default.wl?rs=dfa1.0&amp;vr=2.0&amp;CMD=KEY&amp;DocName=51k3704" TargetMode="External"/><Relationship Id="rId155" Type="http://schemas.openxmlformats.org/officeDocument/2006/relationships/hyperlink" Target="http://www.westlaw.com/Find/Default.wl?rs=dfa1.0&amp;vr=2.0&amp;DB=1000546&amp;DocName=11USCAS1325&amp;FindType=L" TargetMode="External"/><Relationship Id="rId176" Type="http://schemas.openxmlformats.org/officeDocument/2006/relationships/hyperlink" Target="http://www.westlaw.com/Find/Default.wl?rs=dfa1.0&amp;vr=2.0&amp;DB=1000546&amp;DocName=11USCAS707&amp;FindType=L&amp;ReferencePositionType=T&amp;ReferencePosition=SP_c0ae00006c482" TargetMode="External"/><Relationship Id="rId197" Type="http://schemas.openxmlformats.org/officeDocument/2006/relationships/hyperlink" Target="http://www.westlaw.com/Find/Default.wl?rs=dfa1.0&amp;vr=2.0&amp;DB=708&amp;FindType=Y&amp;SerialNum=1995030836" TargetMode="External"/><Relationship Id="rId341" Type="http://schemas.openxmlformats.org/officeDocument/2006/relationships/hyperlink" Target="http://www.westlaw.com/Find/Default.wl?rs=dfa1.0&amp;vr=2.0&amp;DB=1000546&amp;DocName=11USCAS521&amp;FindType=L&amp;ReferencePositionType=T&amp;ReferencePosition=SP_7af40000b0da6" TargetMode="External"/><Relationship Id="rId362" Type="http://schemas.openxmlformats.org/officeDocument/2006/relationships/hyperlink" Target="http://www.westlaw.com/Find/Default.wl?rs=dfa1.0&amp;vr=2.0&amp;DB=1000546&amp;DocName=11USCAS1325&amp;FindType=L&amp;ReferencePositionType=T&amp;ReferencePosition=SP_2a4b0000e5562" TargetMode="External"/><Relationship Id="rId383" Type="http://schemas.openxmlformats.org/officeDocument/2006/relationships/hyperlink" Target="http://www.westlaw.com/Find/Default.wl?rs=dfa1.0&amp;vr=2.0&amp;DB=1000546&amp;DocName=11USCAS1325&amp;FindType=L&amp;ReferencePositionType=T&amp;ReferencePosition=SP_36f10000408d4" TargetMode="External"/><Relationship Id="rId418" Type="http://schemas.openxmlformats.org/officeDocument/2006/relationships/hyperlink" Target="http://www.westlaw.com/Find/Default.wl?rs=dfa1.0&amp;vr=2.0&amp;DB=1000546&amp;DocName=11USCAS707&amp;FindType=L&amp;ReferencePositionType=T&amp;ReferencePosition=SP_fb59000006aa5" TargetMode="External"/><Relationship Id="rId439" Type="http://schemas.openxmlformats.org/officeDocument/2006/relationships/hyperlink" Target="http://www.westlaw.com/Find/Default.wl?rs=dfa1.0&amp;vr=2.0&amp;FindType=2&amp;SerialNum=2017444304&amp;CaseCite=---+S.Ct.+----&amp;CaseSerial=2022242875" TargetMode="External"/><Relationship Id="rId201" Type="http://schemas.openxmlformats.org/officeDocument/2006/relationships/hyperlink" Target="http://www.westlaw.com/Find/Default.wl?rs=dfa1.0&amp;vr=2.0&amp;DB=613&amp;FindType=Y&amp;ReferencePositionType=S&amp;SerialNum=2016886605&amp;ReferencePosition=502" TargetMode="External"/><Relationship Id="rId222" Type="http://schemas.openxmlformats.org/officeDocument/2006/relationships/hyperlink" Target="http://www.westlaw.com/Find/Default.wl?rs=dfa1.0&amp;vr=2.0&amp;DB=506&amp;FindType=Y&amp;ReferencePositionType=S&amp;SerialNum=1995211614&amp;ReferencePosition=1132" TargetMode="External"/><Relationship Id="rId243" Type="http://schemas.openxmlformats.org/officeDocument/2006/relationships/hyperlink" Target="http://www.westlaw.com/Find/Default.wl?rs=dfa1.0&amp;vr=2.0&amp;FindType=Y&amp;SerialNum=2001289110" TargetMode="External"/><Relationship Id="rId264" Type="http://schemas.openxmlformats.org/officeDocument/2006/relationships/hyperlink" Target="http://www.westlaw.com/Find/Default.wl?rs=dfa1.0&amp;vr=2.0&amp;DB=708&amp;FindType=Y&amp;SerialNum=2011721776" TargetMode="External"/><Relationship Id="rId285" Type="http://schemas.openxmlformats.org/officeDocument/2006/relationships/hyperlink" Target="http://www.westlaw.com/Find/Default.wl?rs=dfa1.0&amp;vr=2.0&amp;DB=506&amp;FindType=Y&amp;ReferencePositionType=S&amp;SerialNum=2016362625&amp;ReferencePosition=873" TargetMode="External"/><Relationship Id="rId450" Type="http://schemas.openxmlformats.org/officeDocument/2006/relationships/hyperlink" Target="http://www.westlaw.com/Find/Default.wl?rs=dfa1.0&amp;vr=2.0&amp;FindType=2&amp;SerialNum=2020929208&amp;CaseCite=---+S.Ct.+----&amp;CaseSerial=2022242875" TargetMode="External"/><Relationship Id="rId471" Type="http://schemas.openxmlformats.org/officeDocument/2006/relationships/footer" Target="footer9.xml"/><Relationship Id="rId506" Type="http://schemas.openxmlformats.org/officeDocument/2006/relationships/hyperlink" Target="http://www.westlaw.com/Find/Default.wl?rs=dfa1.0&amp;vr=2.0&amp;FindType=1&amp;SerialNum=0353904504&amp;CaseCite=+SCt+&amp;CaseSerial=2022242875" TargetMode="External"/><Relationship Id="rId17" Type="http://schemas.openxmlformats.org/officeDocument/2006/relationships/hyperlink" Target="http://www.westlaw.com/Find/Default.wl?rs=dfa1.0&amp;vr=2.0&amp;DB=PROFILER-WLD&amp;DocName=0254763301&amp;FindType=h" TargetMode="External"/><Relationship Id="rId38" Type="http://schemas.openxmlformats.org/officeDocument/2006/relationships/hyperlink" Target="http://www.westlaw.com/KeyNumber/Default.wl?rs=dfa1.0&amp;vr=2.0&amp;CMD=KEY&amp;DocName=51" TargetMode="External"/><Relationship Id="rId59" Type="http://schemas.openxmlformats.org/officeDocument/2006/relationships/hyperlink" Target="http://www.westlaw.com/Find/Default.wl?rs=dfa1.0&amp;vr=2.0&amp;DB=1000546&amp;DocName=11USCAS1325&amp;FindType=L&amp;ReferencePositionType=T&amp;ReferencePosition=SP_2a4b0000e5562" TargetMode="External"/><Relationship Id="rId103" Type="http://schemas.openxmlformats.org/officeDocument/2006/relationships/hyperlink" Target="http://www.westlaw.com/Digest/Default.wl?rs=dfa1.0&amp;vr=2.0&amp;CMD=MCC&amp;DocName=51k2322.5" TargetMode="External"/><Relationship Id="rId124" Type="http://schemas.openxmlformats.org/officeDocument/2006/relationships/hyperlink" Target="http://www.westlaw.com/Find/Default.wl?rs=dfa1.0&amp;vr=2.0&amp;DB=1000546&amp;DocName=11USCAS1325&amp;FindType=L&amp;ReferencePositionType=T&amp;ReferencePosition=SP_d801000002763" TargetMode="External"/><Relationship Id="rId310" Type="http://schemas.openxmlformats.org/officeDocument/2006/relationships/hyperlink" Target="http://www.westlaw.com/Find/Default.wl?rs=dfa1.0&amp;vr=2.0&amp;DB=164&amp;FindType=Y&amp;ReferencePositionType=S&amp;SerialNum=2015558592&amp;ReferencePosition=613" TargetMode="External"/><Relationship Id="rId492" Type="http://schemas.openxmlformats.org/officeDocument/2006/relationships/hyperlink" Target="http://www.westlaw.com/Find/Default.wl?rs=dfa1.0&amp;vr=2.0&amp;FindType=1&amp;SerialNum=2022422761&amp;CaseCite=+SCt+&amp;CaseSerial=2022242875" TargetMode="External"/><Relationship Id="rId70" Type="http://schemas.openxmlformats.org/officeDocument/2006/relationships/hyperlink" Target="http://www.westlaw.com/KeyNumber/Default.wl?rs=dfa1.0&amp;vr=2.0&amp;CMD=KEY&amp;DocName=361k199" TargetMode="External"/><Relationship Id="rId91" Type="http://schemas.openxmlformats.org/officeDocument/2006/relationships/hyperlink" Target="http://www.westlaw.com/Find/Default.wl?rs=dfa1.0&amp;vr=2.0&amp;DB=1000546&amp;DocName=11USCAS1325&amp;FindType=L&amp;ReferencePositionType=T&amp;ReferencePosition=SP_2a4b0000e5562" TargetMode="External"/><Relationship Id="rId145" Type="http://schemas.openxmlformats.org/officeDocument/2006/relationships/hyperlink" Target="http://www.westlaw.com/Find/Default.wl?rs=dfa1.0&amp;vr=2.0&amp;DB=PROFILER-WLD&amp;DocName=0334640901&amp;FindType=h" TargetMode="External"/><Relationship Id="rId166" Type="http://schemas.openxmlformats.org/officeDocument/2006/relationships/hyperlink" Target="http://www.westlaw.com/Find/Default.wl?rs=dfa1.0&amp;vr=2.0&amp;DB=164&amp;FindType=Y&amp;ReferencePositionType=S&amp;SerialNum=2002646756&amp;ReferencePosition=799" TargetMode="External"/><Relationship Id="rId187" Type="http://schemas.openxmlformats.org/officeDocument/2006/relationships/hyperlink" Target="http://www.westlaw.com/Find/Default.wl?rs=dfa1.0&amp;vr=2.0&amp;FindType=Y&amp;SerialNum=2014356642" TargetMode="External"/><Relationship Id="rId331" Type="http://schemas.openxmlformats.org/officeDocument/2006/relationships/hyperlink" Target="http://www.westlaw.com/Find/Default.wl?rs=dfa1.0&amp;vr=2.0&amp;DB=1000546&amp;DocName=11USCAS707&amp;FindType=L&amp;ReferencePositionType=T&amp;ReferencePosition=SP_fb59000006aa5" TargetMode="External"/><Relationship Id="rId352" Type="http://schemas.openxmlformats.org/officeDocument/2006/relationships/hyperlink" Target="http://www.westlaw.com/Find/Default.wl?rs=dfa1.0&amp;vr=2.0&amp;DB=1000546&amp;DocName=11USCAS1325&amp;FindType=L&amp;ReferencePositionType=T&amp;ReferencePosition=SP_1eca000045f07" TargetMode="External"/><Relationship Id="rId373" Type="http://schemas.openxmlformats.org/officeDocument/2006/relationships/hyperlink" Target="http://www.westlaw.com/Find/Default.wl?rs=dfa1.0&amp;vr=2.0&amp;DB=708&amp;FindType=Y&amp;SerialNum=2022098240" TargetMode="External"/><Relationship Id="rId394" Type="http://schemas.openxmlformats.org/officeDocument/2006/relationships/hyperlink" Target="http://www.westlaw.com/Find/Default.wl?rs=dfa1.0&amp;vr=2.0&amp;FindType=Y&amp;SerialNum=1987036775" TargetMode="External"/><Relationship Id="rId408" Type="http://schemas.openxmlformats.org/officeDocument/2006/relationships/hyperlink" Target="http://www.westlaw.com/Find/Default.wl?rs=dfa1.0&amp;vr=2.0&amp;FindType=Y&amp;SerialNum=2003077835" TargetMode="External"/><Relationship Id="rId429" Type="http://schemas.openxmlformats.org/officeDocument/2006/relationships/footer" Target="footer6.xml"/><Relationship Id="rId1" Type="http://schemas.openxmlformats.org/officeDocument/2006/relationships/numbering" Target="numbering.xml"/><Relationship Id="rId212" Type="http://schemas.openxmlformats.org/officeDocument/2006/relationships/hyperlink" Target="http://www.westlaw.com/Find/Default.wl?rs=dfa1.0&amp;vr=2.0&amp;DB=1000546&amp;DocName=11USCAS704&amp;FindType=L&amp;ReferencePositionType=T&amp;ReferencePosition=SP_c0ae00006c482" TargetMode="External"/><Relationship Id="rId233" Type="http://schemas.openxmlformats.org/officeDocument/2006/relationships/hyperlink" Target="http://www.westlaw.com/Find/Default.wl?rs=dfa1.0&amp;vr=2.0&amp;DB=164&amp;FindType=Y&amp;ReferencePositionType=S&amp;SerialNum=1987059294&amp;ReferencePosition=808" TargetMode="External"/><Relationship Id="rId254" Type="http://schemas.openxmlformats.org/officeDocument/2006/relationships/hyperlink" Target="http://www.westlaw.com/Find/Default.wl?rs=dfa1.0&amp;vr=2.0&amp;DB=350&amp;FindType=Y&amp;SerialNum=1990065945" TargetMode="External"/><Relationship Id="rId440" Type="http://schemas.openxmlformats.org/officeDocument/2006/relationships/hyperlink" Target="http://www.westlaw.com/KeyCite/Default.wl?rs=dfa1.0&amp;vr=2.0&amp;CMD=KC&amp;SerialNum=2018085415&amp;HistoryType=F" TargetMode="External"/><Relationship Id="rId28" Type="http://schemas.openxmlformats.org/officeDocument/2006/relationships/hyperlink" Target="http://www.westlaw.com/KeyNumber/Default.wl?rs=dfa1.0&amp;vr=2.0&amp;CMD=KEY&amp;DocName=51k3710%282%29" TargetMode="External"/><Relationship Id="rId49" Type="http://schemas.openxmlformats.org/officeDocument/2006/relationships/hyperlink" Target="http://www.westlaw.com/Digest/Default.wl?rs=dfa1.0&amp;vr=2.0&amp;CMD=MCC&amp;DocName=51k3705" TargetMode="External"/><Relationship Id="rId114" Type="http://schemas.openxmlformats.org/officeDocument/2006/relationships/hyperlink" Target="http://www.westlaw.com/Find/Default.wl?rs=dfa1.0&amp;vr=2.0&amp;DB=708&amp;FindType=Y&amp;SerialNum=1995030836" TargetMode="External"/><Relationship Id="rId275" Type="http://schemas.openxmlformats.org/officeDocument/2006/relationships/hyperlink" Target="http://www.westlaw.com/Find/Default.wl?rs=dfa1.0&amp;vr=2.0&amp;DB=1000546&amp;DocName=11USCAS1325&amp;FindType=L&amp;ReferencePositionType=T&amp;ReferencePosition=SP_2a4b0000e5562" TargetMode="External"/><Relationship Id="rId296" Type="http://schemas.openxmlformats.org/officeDocument/2006/relationships/hyperlink" Target="http://www.westlaw.com/Find/Default.wl?rs=dfa1.0&amp;vr=2.0&amp;DB=1000546&amp;DocName=11USCAS1129&amp;FindType=L&amp;ReferencePositionType=T&amp;ReferencePosition=SP_03ee0000a6211" TargetMode="External"/><Relationship Id="rId300" Type="http://schemas.openxmlformats.org/officeDocument/2006/relationships/hyperlink" Target="http://www.westlaw.com/Find/Default.wl?rs=dfa1.0&amp;vr=2.0&amp;DB=1000546&amp;DocName=11USCAS707&amp;FindType=L" TargetMode="External"/><Relationship Id="rId461" Type="http://schemas.openxmlformats.org/officeDocument/2006/relationships/hyperlink" Target="http://www.westlaw.com/Find/Default.wl?rs=dfa1.0&amp;vr=2.0&amp;FindType=2&amp;SerialNum=2016602028&amp;CaseCite=---+S.Ct.+----&amp;CaseSerial=2022242875" TargetMode="External"/><Relationship Id="rId482" Type="http://schemas.openxmlformats.org/officeDocument/2006/relationships/header" Target="header14.xml"/><Relationship Id="rId60" Type="http://schemas.openxmlformats.org/officeDocument/2006/relationships/hyperlink" Target="http://www.westlaw.com/KeyNumber/Default.wl?rs=dfa1.0&amp;vr=2.0&amp;CMD=KEY&amp;DocName=361" TargetMode="External"/><Relationship Id="rId81" Type="http://schemas.openxmlformats.org/officeDocument/2006/relationships/hyperlink" Target="http://www.westlaw.com/KeyNumber/Default.wl?rs=dfa1.0&amp;vr=2.0&amp;CMD=KEY&amp;DocName=51k3715" TargetMode="External"/><Relationship Id="rId135" Type="http://schemas.openxmlformats.org/officeDocument/2006/relationships/hyperlink" Target="http://www.westlaw.com/Find/Default.wl?rs=dfa1.0&amp;vr=2.0&amp;DB=PROFILER-WLD&amp;DocName=0254763301&amp;FindType=h" TargetMode="External"/><Relationship Id="rId156" Type="http://schemas.openxmlformats.org/officeDocument/2006/relationships/hyperlink" Target="http://www.westlaw.com/Find/Default.wl?rs=dfa1.0&amp;vr=2.0&amp;DB=1000546&amp;DocName=11USCAS1325&amp;FindType=L&amp;ReferencePositionType=T&amp;ReferencePosition=SP_8b3b0000958a4" TargetMode="External"/><Relationship Id="rId177" Type="http://schemas.openxmlformats.org/officeDocument/2006/relationships/hyperlink" Target="http://www.westlaw.com/Find/Default.wl?rs=dfa1.0&amp;vr=2.0&amp;DB=1000546&amp;DocName=11USCAS1325&amp;FindType=L&amp;ReferencePositionType=T&amp;ReferencePosition=SP_8b16000077793" TargetMode="External"/><Relationship Id="rId198" Type="http://schemas.openxmlformats.org/officeDocument/2006/relationships/hyperlink" Target="http://www.westlaw.com/Find/Default.wl?rs=dfa1.0&amp;vr=2.0&amp;DB=708&amp;FindType=Y&amp;SerialNum=2012518448" TargetMode="External"/><Relationship Id="rId321" Type="http://schemas.openxmlformats.org/officeDocument/2006/relationships/hyperlink" Target="http://www.westlaw.com/Find/Default.wl?rs=dfa1.0&amp;vr=2.0&amp;DB=164&amp;FindType=Y&amp;ReferencePositionType=S&amp;SerialNum=2003077835&amp;ReferencePosition=520" TargetMode="External"/><Relationship Id="rId342" Type="http://schemas.openxmlformats.org/officeDocument/2006/relationships/hyperlink" Target="http://www.westlaw.com/Find/Default.wl?rs=dfa1.0&amp;vr=2.0&amp;DB=1000546&amp;DocName=11USCAS101&amp;FindType=L&amp;ReferencePositionType=T&amp;ReferencePosition=SP_9ea10000d2c36" TargetMode="External"/><Relationship Id="rId363" Type="http://schemas.openxmlformats.org/officeDocument/2006/relationships/hyperlink" Target="http://www.westlaw.com/Find/Default.wl?rs=dfa1.0&amp;vr=2.0&amp;DB=1000546&amp;DocName=11USCAS1325&amp;FindType=L&amp;ReferencePositionType=T&amp;ReferencePosition=SP_2a4b0000e5562" TargetMode="External"/><Relationship Id="rId384" Type="http://schemas.openxmlformats.org/officeDocument/2006/relationships/hyperlink" Target="http://www.westlaw.com/Find/Default.wl?rs=dfa1.0&amp;vr=2.0&amp;DB=506&amp;FindType=Y&amp;ReferencePositionType=S&amp;SerialNum=2012518723&amp;ReferencePosition=125" TargetMode="External"/><Relationship Id="rId419" Type="http://schemas.openxmlformats.org/officeDocument/2006/relationships/hyperlink" Target="http://www.westlaw.com/Find/Default.wl?rs=dfa1.0&amp;vr=2.0&amp;DB=708&amp;FindType=Y&amp;SerialNum=1992051933" TargetMode="External"/><Relationship Id="rId202" Type="http://schemas.openxmlformats.org/officeDocument/2006/relationships/hyperlink" Target="http://www.westlaw.com/Find/Default.wl?rs=dfa1.0&amp;vr=2.0&amp;DB=164&amp;FindType=Y&amp;ReferencePositionType=S&amp;SerialNum=2011492602&amp;ReferencePosition=312" TargetMode="External"/><Relationship Id="rId223" Type="http://schemas.openxmlformats.org/officeDocument/2006/relationships/hyperlink" Target="http://www.westlaw.com/Find/Default.wl?rs=dfa1.0&amp;vr=2.0&amp;DB=506&amp;FindType=Y&amp;ReferencePositionType=S&amp;SerialNum=1995211614&amp;ReferencePosition=1132" TargetMode="External"/><Relationship Id="rId244" Type="http://schemas.openxmlformats.org/officeDocument/2006/relationships/hyperlink" Target="http://www.westlaw.com/Find/Default.wl?rs=dfa1.0&amp;vr=2.0&amp;FindType=Y&amp;SerialNum=2001289110" TargetMode="External"/><Relationship Id="rId430" Type="http://schemas.openxmlformats.org/officeDocument/2006/relationships/hyperlink" Target="http://www.westlaw.com/KeyCite/Default.wl?rs=dfa1.0&amp;vr=2.0&amp;CMD=KC&amp;SerialNum=2022242875&amp;HistoryType=F" TargetMode="External"/><Relationship Id="rId18" Type="http://schemas.openxmlformats.org/officeDocument/2006/relationships/image" Target="media/image3.png"/><Relationship Id="rId39" Type="http://schemas.openxmlformats.org/officeDocument/2006/relationships/hyperlink" Target="http://www.westlaw.com/KeyNumber/Default.wl?rs=dfa1.0&amp;vr=2.0&amp;CMD=KEY&amp;DocName=51I" TargetMode="External"/><Relationship Id="rId265" Type="http://schemas.openxmlformats.org/officeDocument/2006/relationships/hyperlink" Target="http://www.westlaw.com/Find/Default.wl?rs=dfa1.0&amp;vr=2.0&amp;DB=708&amp;FindType=Y&amp;SerialNum=2004086779" TargetMode="External"/><Relationship Id="rId286" Type="http://schemas.openxmlformats.org/officeDocument/2006/relationships/hyperlink" Target="http://www.westlaw.com/Find/Default.wl?rs=dfa1.0&amp;vr=2.0&amp;DB=506&amp;FindType=Y&amp;ReferencePositionType=S&amp;SerialNum=2016362625&amp;ReferencePosition=873" TargetMode="External"/><Relationship Id="rId451" Type="http://schemas.openxmlformats.org/officeDocument/2006/relationships/hyperlink" Target="http://www.westlaw.com/Find/Default.wl?rs=dfa1.0&amp;vr=2.0&amp;FindType=2&amp;SerialNum=2021256801&amp;CaseCite=---+S.Ct.+----&amp;CaseSerial=2022242875" TargetMode="External"/><Relationship Id="rId472" Type="http://schemas.openxmlformats.org/officeDocument/2006/relationships/hyperlink" Target="http://www.westlaw.com/Find/Default.wl?rs=dfa1.0&amp;vr=2.0&amp;FindType=0&amp;SerialNum=2022242875" TargetMode="External"/><Relationship Id="rId493" Type="http://schemas.openxmlformats.org/officeDocument/2006/relationships/hyperlink" Target="http://www.westlaw.com/Find/Default.wl?rs=dfa1.0&amp;vr=2.0&amp;FindType=1&amp;SerialNum=2022533393&amp;CaseCite=+SCt+&amp;CaseSerial=2022242875" TargetMode="External"/><Relationship Id="rId507" Type="http://schemas.openxmlformats.org/officeDocument/2006/relationships/hyperlink" Target="http://www.westlaw.com/Find/Default.wl?rs=dfa1.0&amp;vr=2.0&amp;FindType=1&amp;SerialNum=0354013506&amp;CaseCite=+SCt+&amp;CaseSerial=2022242875" TargetMode="External"/><Relationship Id="rId50" Type="http://schemas.openxmlformats.org/officeDocument/2006/relationships/hyperlink" Target="http://www.westlaw.com/Find/Default.wl?rs=dfa1.0&amp;vr=2.0&amp;DB=1000546&amp;DocName=11USCAS707&amp;FindType=L&amp;ReferencePositionType=T&amp;ReferencePosition=SP_c0ae00006c482" TargetMode="External"/><Relationship Id="rId104" Type="http://schemas.openxmlformats.org/officeDocument/2006/relationships/hyperlink" Target="http://www.westlaw.com/Find/Default.wl?rs=dfa1.0&amp;vr=2.0&amp;DB=1000546&amp;DocName=11USCAS521&amp;FindType=L&amp;ReferencePositionType=T&amp;ReferencePosition=SP_b4940000fb763" TargetMode="External"/><Relationship Id="rId125" Type="http://schemas.openxmlformats.org/officeDocument/2006/relationships/hyperlink" Target="http://www.westlaw.com/Find/Default.wl?rs=dfa1.0&amp;vr=2.0&amp;DB=1000546&amp;DocName=11USCAS707&amp;FindType=L" TargetMode="External"/><Relationship Id="rId146" Type="http://schemas.openxmlformats.org/officeDocument/2006/relationships/hyperlink" Target="http://www.westlaw.com/Find/Default.wl?rs=dfa1.0&amp;vr=2.0&amp;DB=PROFILER-WLD&amp;DocName=0391246701&amp;FindType=h" TargetMode="External"/><Relationship Id="rId167" Type="http://schemas.openxmlformats.org/officeDocument/2006/relationships/hyperlink" Target="http://www.westlaw.com/Find/Default.wl?rs=dfa1.0&amp;vr=2.0&amp;DB=1000546&amp;DocName=11USCAS1325&amp;FindType=L&amp;ReferencePositionType=T&amp;ReferencePosition=SP_226a0000d5fe7" TargetMode="External"/><Relationship Id="rId188" Type="http://schemas.openxmlformats.org/officeDocument/2006/relationships/hyperlink" Target="http://www.westlaw.com/Find/Default.wl?rs=dfa1.0&amp;vr=2.0&amp;FindType=Y&amp;SerialNum=2014356642" TargetMode="External"/><Relationship Id="rId311" Type="http://schemas.openxmlformats.org/officeDocument/2006/relationships/hyperlink" Target="http://www.westlaw.com/Find/Default.wl?rs=dfa1.0&amp;vr=2.0&amp;DB=1000546&amp;DocName=11USCAS101&amp;FindType=L&amp;ReferencePositionType=T&amp;ReferencePosition=SP_5b320000bf834" TargetMode="External"/><Relationship Id="rId332" Type="http://schemas.openxmlformats.org/officeDocument/2006/relationships/hyperlink" Target="http://www.westlaw.com/Find/Default.wl?rs=dfa1.0&amp;vr=2.0&amp;DB=1000546&amp;DocName=11USCAS1325&amp;FindType=L" TargetMode="External"/><Relationship Id="rId353" Type="http://schemas.openxmlformats.org/officeDocument/2006/relationships/hyperlink" Target="http://www.westlaw.com/Find/Default.wl?rs=dfa1.0&amp;vr=2.0&amp;DB=1000546&amp;DocName=8USCAS1364&amp;FindType=L&amp;ReferencePositionType=T&amp;ReferencePosition=SP_fcf30000ea9c4" TargetMode="External"/><Relationship Id="rId374" Type="http://schemas.openxmlformats.org/officeDocument/2006/relationships/hyperlink" Target="http://www.westlaw.com/Find/Default.wl?rs=dfa1.0&amp;vr=2.0&amp;DB=708&amp;FindType=Y&amp;SerialNum=2022098240" TargetMode="External"/><Relationship Id="rId395" Type="http://schemas.openxmlformats.org/officeDocument/2006/relationships/hyperlink" Target="http://www.westlaw.com/Find/Default.wl?rs=dfa1.0&amp;vr=2.0&amp;DB=1000546&amp;DocName=11USCAS521&amp;FindType=L&amp;ReferencePositionType=T&amp;ReferencePosition=SP_b4940000fb763" TargetMode="External"/><Relationship Id="rId409" Type="http://schemas.openxmlformats.org/officeDocument/2006/relationships/hyperlink" Target="http://www.westlaw.com/Find/Default.wl?rs=dfa1.0&amp;vr=2.0&amp;FindType=Y&amp;SerialNum=2003077835" TargetMode="External"/><Relationship Id="rId71" Type="http://schemas.openxmlformats.org/officeDocument/2006/relationships/hyperlink" Target="http://www.westlaw.com/Digest/Default.wl?rs=dfa1.0&amp;vr=2.0&amp;CMD=MCC&amp;DocName=361k199" TargetMode="External"/><Relationship Id="rId92" Type="http://schemas.openxmlformats.org/officeDocument/2006/relationships/hyperlink" Target="http://www.westlaw.com/Find/Default.wl?rs=dfa1.0&amp;vr=2.0&amp;DB=1000546&amp;DocName=11USCAS1325&amp;FindType=L&amp;ReferencePositionType=T&amp;ReferencePosition=SP_c0ae00006c482" TargetMode="External"/><Relationship Id="rId213" Type="http://schemas.openxmlformats.org/officeDocument/2006/relationships/hyperlink" Target="http://www.westlaw.com/Find/Default.wl?rs=dfa1.0&amp;vr=2.0&amp;DB=1000546&amp;DocName=11USCAS707&amp;FindType=L&amp;ReferencePositionType=T&amp;ReferencePosition=SP_61d20000b6d76" TargetMode="External"/><Relationship Id="rId234" Type="http://schemas.openxmlformats.org/officeDocument/2006/relationships/hyperlink" Target="http://www.westlaw.com/Find/Default.wl?rs=dfa1.0&amp;vr=2.0&amp;DB=164&amp;FindType=Y&amp;ReferencePositionType=S&amp;SerialNum=1986160801&amp;ReferencePosition=63" TargetMode="External"/><Relationship Id="rId420" Type="http://schemas.openxmlformats.org/officeDocument/2006/relationships/hyperlink" Target="http://www.westlaw.com/Find/Default.wl?rs=dfa1.0&amp;vr=2.0&amp;DB=708&amp;FindType=Y&amp;SerialNum=1992051933" TargetMode="External"/><Relationship Id="rId2" Type="http://schemas.openxmlformats.org/officeDocument/2006/relationships/styles" Target="styles.xml"/><Relationship Id="rId29" Type="http://schemas.openxmlformats.org/officeDocument/2006/relationships/hyperlink" Target="http://www.westlaw.com/Digest/Default.wl?rs=dfa1.0&amp;vr=2.0&amp;CMD=MCC&amp;DocName=51k3710%282%29" TargetMode="External"/><Relationship Id="rId255" Type="http://schemas.openxmlformats.org/officeDocument/2006/relationships/hyperlink" Target="http://www.westlaw.com/Find/Default.wl?rs=dfa1.0&amp;vr=2.0&amp;DB=350&amp;FindType=Y&amp;SerialNum=1990065945" TargetMode="External"/><Relationship Id="rId276" Type="http://schemas.openxmlformats.org/officeDocument/2006/relationships/hyperlink" Target="http://www.westlaw.com/Find/Default.wl?rs=dfa1.0&amp;vr=2.0&amp;DB=506&amp;FindType=Y&amp;ReferencePositionType=S&amp;SerialNum=2019402498&amp;ReferencePosition=263" TargetMode="External"/><Relationship Id="rId297" Type="http://schemas.openxmlformats.org/officeDocument/2006/relationships/hyperlink" Target="http://www.westlaw.com/Find/Default.wl?rs=dfa1.0&amp;vr=2.0&amp;DB=1000546&amp;DocName=11USCAS1325&amp;FindType=L&amp;ReferencePositionType=T&amp;ReferencePosition=SP_2a4b0000e5562" TargetMode="External"/><Relationship Id="rId441" Type="http://schemas.openxmlformats.org/officeDocument/2006/relationships/hyperlink" Target="http://www.westlaw.com/Find/Default.wl?rs=dfa1.0&amp;vr=2.0&amp;FindType=2&amp;SerialNum=2018085415&amp;CaseCite=---+S.Ct.+----&amp;CaseSerial=2022242875" TargetMode="External"/><Relationship Id="rId462" Type="http://schemas.openxmlformats.org/officeDocument/2006/relationships/hyperlink" Target="http://www.westlaw.com/Find/Default.wl?rs=dfa1.0&amp;vr=2.0&amp;FindType=2&amp;SerialNum=2020293760&amp;CaseCite=---+S.Ct.+----&amp;CaseSerial=2022242875" TargetMode="External"/><Relationship Id="rId483" Type="http://schemas.openxmlformats.org/officeDocument/2006/relationships/footer" Target="footer14.xml"/><Relationship Id="rId40" Type="http://schemas.openxmlformats.org/officeDocument/2006/relationships/hyperlink" Target="http://www.westlaw.com/KeyNumber/Default.wl?rs=dfa1.0&amp;vr=2.0&amp;CMD=KEY&amp;DocName=51I%28B%29" TargetMode="External"/><Relationship Id="rId115" Type="http://schemas.openxmlformats.org/officeDocument/2006/relationships/hyperlink" Target="http://www.westlaw.com/Find/Default.wl?rs=dfa1.0&amp;vr=2.0&amp;DB=1000546&amp;DocName=7USCAS1301&amp;FindType=L&amp;ReferencePositionType=T&amp;ReferencePosition=SP_6c1d000097934" TargetMode="External"/><Relationship Id="rId136" Type="http://schemas.openxmlformats.org/officeDocument/2006/relationships/hyperlink" Target="http://www.westlaw.com/Find/Default.wl?rs=dfa1.0&amp;vr=2.0&amp;DB=PROFILER-WLD&amp;DocName=0181822701&amp;FindType=h" TargetMode="External"/><Relationship Id="rId157" Type="http://schemas.openxmlformats.org/officeDocument/2006/relationships/hyperlink" Target="http://www.westlaw.com/Find/Default.wl?rs=dfa1.0&amp;vr=2.0&amp;DB=1000546&amp;DocName=11USCAS1325&amp;FindType=L&amp;ReferencePositionType=T&amp;ReferencePosition=SP_a83b000018c76" TargetMode="External"/><Relationship Id="rId178" Type="http://schemas.openxmlformats.org/officeDocument/2006/relationships/hyperlink" Target="http://www.westlaw.com/Find/Default.wl?rs=dfa1.0&amp;vr=2.0&amp;DB=1000546&amp;DocName=11USCAS1325&amp;FindType=L&amp;ReferencePositionType=T&amp;ReferencePosition=SP_2a4b0000e5562" TargetMode="External"/><Relationship Id="rId301" Type="http://schemas.openxmlformats.org/officeDocument/2006/relationships/hyperlink" Target="http://www.westlaw.com/Find/Default.wl?rs=dfa1.0&amp;vr=2.0&amp;DB=1000546&amp;DocName=11USCAS1325&amp;FindType=L&amp;ReferencePositionType=T&amp;ReferencePosition=SP_d801000002763" TargetMode="External"/><Relationship Id="rId322" Type="http://schemas.openxmlformats.org/officeDocument/2006/relationships/hyperlink" Target="http://www.westlaw.com/Find/Default.wl?rs=dfa1.0&amp;vr=2.0&amp;DB=164&amp;FindType=Y&amp;ReferencePositionType=S&amp;SerialNum=2003077835&amp;ReferencePosition=520" TargetMode="External"/><Relationship Id="rId343" Type="http://schemas.openxmlformats.org/officeDocument/2006/relationships/hyperlink" Target="http://www.westlaw.com/Find/Default.wl?rs=dfa1.0&amp;vr=2.0&amp;DB=1000546&amp;DocName=11USCAS1325&amp;FindType=L&amp;ReferencePositionType=T&amp;ReferencePosition=SP_2a4b0000e5562" TargetMode="External"/><Relationship Id="rId364" Type="http://schemas.openxmlformats.org/officeDocument/2006/relationships/hyperlink" Target="http://www.westlaw.com/Find/Default.wl?rs=dfa1.0&amp;vr=2.0&amp;DB=1000546&amp;DocName=11USCAS1325&amp;FindType=L&amp;ReferencePositionType=T&amp;ReferencePosition=SP_3fed000053a85" TargetMode="External"/><Relationship Id="rId61" Type="http://schemas.openxmlformats.org/officeDocument/2006/relationships/hyperlink" Target="http://www.westlaw.com/KeyNumber/Default.wl?rs=dfa1.0&amp;vr=2.0&amp;CMD=KEY&amp;DocName=361VI" TargetMode="External"/><Relationship Id="rId82" Type="http://schemas.openxmlformats.org/officeDocument/2006/relationships/hyperlink" Target="http://www.westlaw.com/KeyNumber/Default.wl?rs=dfa1.0&amp;vr=2.0&amp;CMD=KEY&amp;DocName=51k3715%289%29" TargetMode="External"/><Relationship Id="rId199" Type="http://schemas.openxmlformats.org/officeDocument/2006/relationships/hyperlink" Target="http://www.westlaw.com/Find/Default.wl?rs=dfa1.0&amp;vr=2.0&amp;DB=708&amp;FindType=Y&amp;SerialNum=2012518448" TargetMode="External"/><Relationship Id="rId203" Type="http://schemas.openxmlformats.org/officeDocument/2006/relationships/hyperlink" Target="http://www.westlaw.com/Find/Default.wl?rs=dfa1.0&amp;vr=2.0&amp;DB=164&amp;FindType=Y&amp;ReferencePositionType=S&amp;SerialNum=2011492602&amp;ReferencePosition=312" TargetMode="External"/><Relationship Id="rId385" Type="http://schemas.openxmlformats.org/officeDocument/2006/relationships/hyperlink" Target="http://www.westlaw.com/Find/Default.wl?rs=dfa1.0&amp;vr=2.0&amp;DB=506&amp;FindType=Y&amp;ReferencePositionType=S&amp;SerialNum=2012518723&amp;ReferencePosition=125" TargetMode="External"/><Relationship Id="rId19" Type="http://schemas.openxmlformats.org/officeDocument/2006/relationships/hyperlink" Target="http://www.westlaw.com/KeyNumber/Default.wl?rs=dfa1.0&amp;vr=2.0&amp;CMD=KEY&amp;DocName=51" TargetMode="External"/><Relationship Id="rId224" Type="http://schemas.openxmlformats.org/officeDocument/2006/relationships/hyperlink" Target="http://www.westlaw.com/Find/Default.wl?rs=dfa1.0&amp;vr=2.0&amp;DB=164&amp;FindType=Y&amp;ReferencePositionType=S&amp;SerialNum=1995126431&amp;ReferencePosition=559" TargetMode="External"/><Relationship Id="rId245" Type="http://schemas.openxmlformats.org/officeDocument/2006/relationships/hyperlink" Target="http://www.westlaw.com/Find/Default.wl?rs=dfa1.0&amp;vr=2.0&amp;FindType=Y&amp;SerialNum=1987059294" TargetMode="External"/><Relationship Id="rId266" Type="http://schemas.openxmlformats.org/officeDocument/2006/relationships/hyperlink" Target="http://www.westlaw.com/Find/Default.wl?rs=dfa1.0&amp;vr=2.0&amp;DB=708&amp;FindType=Y&amp;SerialNum=2004086779" TargetMode="External"/><Relationship Id="rId287" Type="http://schemas.openxmlformats.org/officeDocument/2006/relationships/hyperlink" Target="http://www.westlaw.com/Find/Default.wl?rs=dfa1.0&amp;vr=2.0&amp;DB=1000546&amp;DocName=11USCAS1325&amp;FindType=L&amp;ReferencePositionType=T&amp;ReferencePosition=SP_c0ae00006c482" TargetMode="External"/><Relationship Id="rId410" Type="http://schemas.openxmlformats.org/officeDocument/2006/relationships/hyperlink" Target="http://www.westlaw.com/Find/Default.wl?rs=dfa1.0&amp;vr=2.0&amp;DB=1000546&amp;DocName=11USCAS109&amp;FindType=L&amp;ReferencePositionType=T&amp;ReferencePosition=SP_4d690000c9482" TargetMode="External"/><Relationship Id="rId431" Type="http://schemas.openxmlformats.org/officeDocument/2006/relationships/hyperlink" Target="http://www.westlaw.com/Find/Default.wl?rs=dfa1.0&amp;vr=2.0&amp;FindType=0&amp;SerialNum=2022242875" TargetMode="External"/><Relationship Id="rId452" Type="http://schemas.openxmlformats.org/officeDocument/2006/relationships/hyperlink" Target="http://www.westlaw.com/Find/Default.wl?rs=dfa1.0&amp;vr=2.0&amp;FindType=2&amp;SerialNum=2021391046&amp;CaseCite=---+S.Ct.+----&amp;CaseSerial=2022242875" TargetMode="External"/><Relationship Id="rId473" Type="http://schemas.openxmlformats.org/officeDocument/2006/relationships/header" Target="header10.xml"/><Relationship Id="rId494" Type="http://schemas.openxmlformats.org/officeDocument/2006/relationships/hyperlink" Target="http://www.westlaw.com/Find/Default.wl?rs=dfa1.0&amp;vr=2.0&amp;FindType=1&amp;SerialNum=2022360850&amp;CaseCite=+SCt+&amp;CaseSerial=2022242875" TargetMode="External"/><Relationship Id="rId508" Type="http://schemas.openxmlformats.org/officeDocument/2006/relationships/hyperlink" Target="http://www.westlaw.com/Find/Default.wl?rs=dfa1.0&amp;vr=2.0&amp;FindType=1&amp;SerialNum=0353564990&amp;CaseCite=+SCt+&amp;CaseSerial=2022242875" TargetMode="External"/><Relationship Id="rId30" Type="http://schemas.openxmlformats.org/officeDocument/2006/relationships/hyperlink" Target="http://www.westlaw.com/Find/Default.wl?rs=dfa1.0&amp;vr=2.0&amp;DB=1000546&amp;DocName=11USCAS1325&amp;FindType=L&amp;ReferencePositionType=T&amp;ReferencePosition=SP_3fed000053a85" TargetMode="External"/><Relationship Id="rId105" Type="http://schemas.openxmlformats.org/officeDocument/2006/relationships/hyperlink" Target="http://www.westlaw.com/Find/Default.wl?rs=dfa1.0&amp;vr=2.0&amp;DB=708&amp;FindType=Y&amp;SerialNum=1906101604" TargetMode="External"/><Relationship Id="rId126" Type="http://schemas.openxmlformats.org/officeDocument/2006/relationships/hyperlink" Target="http://www.westlaw.com/Find/Default.wl?rs=dfa1.0&amp;vr=2.0&amp;DB=506&amp;FindType=Y&amp;SerialNum=2017444304" TargetMode="External"/><Relationship Id="rId147" Type="http://schemas.openxmlformats.org/officeDocument/2006/relationships/hyperlink" Target="http://www.westlaw.com/Find/Default.wl?rs=dfa1.0&amp;vr=2.0&amp;DB=PROFILER-WLD&amp;DocName=0323546301&amp;FindType=h" TargetMode="External"/><Relationship Id="rId168" Type="http://schemas.openxmlformats.org/officeDocument/2006/relationships/hyperlink" Target="http://www.westlaw.com/Find/Default.wl?rs=dfa1.0&amp;vr=2.0&amp;DB=1000546&amp;DocName=11USCAS101&amp;FindType=L&amp;ReferencePositionType=T&amp;ReferencePosition=SP_60180000b51a0" TargetMode="External"/><Relationship Id="rId312" Type="http://schemas.openxmlformats.org/officeDocument/2006/relationships/hyperlink" Target="http://www.westlaw.com/Find/Default.wl?rs=dfa1.0&amp;vr=2.0&amp;DB=1000546&amp;DocName=11USCAS109&amp;FindType=L&amp;ReferencePositionType=T&amp;ReferencePosition=SP_7fdd00001ca15" TargetMode="External"/><Relationship Id="rId333" Type="http://schemas.openxmlformats.org/officeDocument/2006/relationships/hyperlink" Target="http://www.westlaw.com/Find/Default.wl?rs=dfa1.0&amp;vr=2.0&amp;DB=PROFILER-WLD&amp;DocName=0254763301&amp;FindType=h" TargetMode="External"/><Relationship Id="rId354" Type="http://schemas.openxmlformats.org/officeDocument/2006/relationships/hyperlink" Target="http://www.westlaw.com/Find/Default.wl?rs=dfa1.0&amp;vr=2.0&amp;DB=1000546&amp;DocName=25USCAS2009&amp;FindType=L&amp;ReferencePositionType=T&amp;ReferencePosition=SP_4b24000003ba5" TargetMode="External"/><Relationship Id="rId51" Type="http://schemas.openxmlformats.org/officeDocument/2006/relationships/hyperlink" Target="http://www.westlaw.com/Find/Default.wl?rs=dfa1.0&amp;vr=2.0&amp;DB=1000546&amp;DocName=11USCAS1325&amp;FindType=L&amp;ReferencePositionType=T&amp;ReferencePosition=SP_c0ae00006c482" TargetMode="External"/><Relationship Id="rId72" Type="http://schemas.openxmlformats.org/officeDocument/2006/relationships/hyperlink" Target="http://www.westlaw.com/KeyNumber/Default.wl?rs=dfa1.0&amp;vr=2.0&amp;CMD=KEY&amp;DocName=51" TargetMode="External"/><Relationship Id="rId93" Type="http://schemas.openxmlformats.org/officeDocument/2006/relationships/hyperlink" Target="http://www.westlaw.com/KeyNumber/Default.wl?rs=dfa1.0&amp;vr=2.0&amp;CMD=KEY&amp;DocName=51" TargetMode="External"/><Relationship Id="rId189" Type="http://schemas.openxmlformats.org/officeDocument/2006/relationships/hyperlink" Target="http://www.westlaw.com/Find/Default.wl?rs=dfa1.0&amp;vr=2.0&amp;FindType=Y&amp;SerialNum=2014356642" TargetMode="External"/><Relationship Id="rId375" Type="http://schemas.openxmlformats.org/officeDocument/2006/relationships/hyperlink" Target="http://www.westlaw.com/Find/Default.wl?rs=dfa1.0&amp;vr=2.0&amp;FindType=Y&amp;SerialNum=2022098240" TargetMode="External"/><Relationship Id="rId396" Type="http://schemas.openxmlformats.org/officeDocument/2006/relationships/hyperlink" Target="http://www.westlaw.com/Find/Default.wl?rs=dfa1.0&amp;vr=2.0&amp;DB=1000546&amp;DocName=11USCAS521&amp;FindType=L&amp;ReferencePositionType=T&amp;ReferencePosition=SP_50660000823d1" TargetMode="External"/><Relationship Id="rId3" Type="http://schemas.openxmlformats.org/officeDocument/2006/relationships/settings" Target="settings.xml"/><Relationship Id="rId214" Type="http://schemas.openxmlformats.org/officeDocument/2006/relationships/hyperlink" Target="http://www.westlaw.com/Find/Default.wl?rs=dfa1.0&amp;vr=2.0&amp;DB=1000546&amp;DocName=11USCAS707&amp;FindType=L&amp;ReferencePositionType=T&amp;ReferencePosition=SP_226a0000d5fe7" TargetMode="External"/><Relationship Id="rId235" Type="http://schemas.openxmlformats.org/officeDocument/2006/relationships/hyperlink" Target="http://www.westlaw.com/Find/Default.wl?rs=dfa1.0&amp;vr=2.0&amp;DB=164&amp;FindType=Y&amp;ReferencePositionType=S&amp;SerialNum=1986160801&amp;ReferencePosition=63" TargetMode="External"/><Relationship Id="rId256" Type="http://schemas.openxmlformats.org/officeDocument/2006/relationships/hyperlink" Target="http://www.westlaw.com/Find/Default.wl?rs=dfa1.0&amp;vr=2.0&amp;DB=350&amp;FindType=Y&amp;SerialNum=1990065945" TargetMode="External"/><Relationship Id="rId277" Type="http://schemas.openxmlformats.org/officeDocument/2006/relationships/hyperlink" Target="http://www.westlaw.com/Find/Default.wl?rs=dfa1.0&amp;vr=2.0&amp;DB=506&amp;FindType=Y&amp;ReferencePositionType=S&amp;SerialNum=2019402498&amp;ReferencePosition=263" TargetMode="External"/><Relationship Id="rId298" Type="http://schemas.openxmlformats.org/officeDocument/2006/relationships/hyperlink" Target="http://www.westlaw.com/Find/Default.wl?rs=dfa1.0&amp;vr=2.0&amp;DB=1000546&amp;DocName=11USCAS1129&amp;FindType=L&amp;ReferencePositionType=T&amp;ReferencePosition=SP_03ee0000a6211" TargetMode="External"/><Relationship Id="rId400" Type="http://schemas.openxmlformats.org/officeDocument/2006/relationships/hyperlink" Target="http://www.westlaw.com/Find/Default.wl?rs=dfa1.0&amp;vr=2.0&amp;DB=1000546&amp;DocName=11USCAS521&amp;FindType=L&amp;ReferencePositionType=T&amp;ReferencePosition=SP_b4940000fb763" TargetMode="External"/><Relationship Id="rId421" Type="http://schemas.openxmlformats.org/officeDocument/2006/relationships/hyperlink" Target="http://www.westlaw.com/Find/Default.wl?rs=dfa1.0&amp;vr=2.0&amp;DB=1000546&amp;DocName=11USCAS1325&amp;FindType=L&amp;ReferencePositionType=T&amp;ReferencePosition=SP_2a4b0000e5562" TargetMode="External"/><Relationship Id="rId442" Type="http://schemas.openxmlformats.org/officeDocument/2006/relationships/hyperlink" Target="http://www.westlaw.com/Find/Default.wl?rs=dfa1.0&amp;vr=2.0&amp;FindType=2&amp;SerialNum=2022242875&amp;CaseCite=---+S.Ct.+----&amp;CaseSerial=2022242875" TargetMode="External"/><Relationship Id="rId463" Type="http://schemas.openxmlformats.org/officeDocument/2006/relationships/hyperlink" Target="http://www.westlaw.com/Find/Default.wl?rs=dfa1.0&amp;vr=2.0&amp;FindType=2&amp;SerialNum=2020293761&amp;CaseCite=---+S.Ct.+----&amp;CaseSerial=2022242875" TargetMode="External"/><Relationship Id="rId484" Type="http://schemas.openxmlformats.org/officeDocument/2006/relationships/hyperlink" Target="http://www.westlaw.com/Find/Default.wl?rs=dfa1.0&amp;vr=2.0&amp;FindType=0&amp;SerialNum=2022242875" TargetMode="External"/><Relationship Id="rId116" Type="http://schemas.openxmlformats.org/officeDocument/2006/relationships/hyperlink" Target="http://www.westlaw.com/Find/Default.wl?rs=dfa1.0&amp;vr=2.0&amp;DB=1000546&amp;DocName=11USCAS1325&amp;FindType=L&amp;ReferencePositionType=T&amp;ReferencePosition=SP_d801000002763" TargetMode="External"/><Relationship Id="rId137" Type="http://schemas.openxmlformats.org/officeDocument/2006/relationships/hyperlink" Target="http://www.westlaw.com/Find/Default.wl?rs=dfa1.0&amp;vr=2.0&amp;DB=PROFILER-WLD&amp;DocName=0334640901&amp;FindType=h" TargetMode="External"/><Relationship Id="rId158" Type="http://schemas.openxmlformats.org/officeDocument/2006/relationships/hyperlink" Target="http://www.westlaw.com/Find/Default.wl?rs=dfa1.0&amp;vr=2.0&amp;DB=1000546&amp;DocName=11USCAS1325&amp;FindType=L&amp;ReferencePositionType=T&amp;ReferencePosition=SP_3fed000053a85" TargetMode="External"/><Relationship Id="rId302" Type="http://schemas.openxmlformats.org/officeDocument/2006/relationships/hyperlink" Target="http://www.westlaw.com/Find/Default.wl?rs=dfa1.0&amp;vr=2.0&amp;DB=1000546&amp;DocName=11USCAS707&amp;FindType=L" TargetMode="External"/><Relationship Id="rId323" Type="http://schemas.openxmlformats.org/officeDocument/2006/relationships/hyperlink" Target="http://www.westlaw.com/Find/Default.wl?rs=dfa1.0&amp;vr=2.0&amp;DB=1000546&amp;DocName=11USCAS109&amp;FindType=L&amp;ReferencePositionType=T&amp;ReferencePosition=SP_16f4000091d86" TargetMode="External"/><Relationship Id="rId344" Type="http://schemas.openxmlformats.org/officeDocument/2006/relationships/hyperlink" Target="http://www.westlaw.com/Find/Default.wl?rs=dfa1.0&amp;vr=2.0&amp;DB=1000546&amp;DocName=11USCAS1129&amp;FindType=L&amp;ReferencePositionType=T&amp;ReferencePosition=SP_03ee0000a6211" TargetMode="External"/><Relationship Id="rId20" Type="http://schemas.openxmlformats.org/officeDocument/2006/relationships/hyperlink" Target="http://www.westlaw.com/KeyNumber/Default.wl?rs=dfa1.0&amp;vr=2.0&amp;CMD=KEY&amp;DocName=51XVIII" TargetMode="External"/><Relationship Id="rId41" Type="http://schemas.openxmlformats.org/officeDocument/2006/relationships/hyperlink" Target="http://www.westlaw.com/KeyNumber/Default.wl?rs=dfa1.0&amp;vr=2.0&amp;CMD=KEY&amp;DocName=51k2021" TargetMode="External"/><Relationship Id="rId62" Type="http://schemas.openxmlformats.org/officeDocument/2006/relationships/hyperlink" Target="http://www.westlaw.com/KeyNumber/Default.wl?rs=dfa1.0&amp;vr=2.0&amp;CMD=KEY&amp;DocName=361VI%28A%29" TargetMode="External"/><Relationship Id="rId83" Type="http://schemas.openxmlformats.org/officeDocument/2006/relationships/hyperlink" Target="http://www.westlaw.com/KeyNumber/Default.wl?rs=dfa1.0&amp;vr=2.0&amp;CMD=KEY&amp;DocName=51k3715%2810%29" TargetMode="External"/><Relationship Id="rId179" Type="http://schemas.openxmlformats.org/officeDocument/2006/relationships/hyperlink" Target="http://www.westlaw.com/Find/Default.wl?rs=dfa1.0&amp;vr=2.0&amp;DB=999&amp;FindType=Y&amp;SerialNum=2012282366" TargetMode="External"/><Relationship Id="rId365" Type="http://schemas.openxmlformats.org/officeDocument/2006/relationships/hyperlink" Target="http://www.westlaw.com/Find/Default.wl?rs=dfa1.0&amp;vr=2.0&amp;DB=1000546&amp;DocName=11USCAS1325&amp;FindType=L&amp;ReferencePositionType=T&amp;ReferencePosition=SP_8b16000077793" TargetMode="External"/><Relationship Id="rId386" Type="http://schemas.openxmlformats.org/officeDocument/2006/relationships/hyperlink" Target="http://www.westlaw.com/Find/Default.wl?rs=dfa1.0&amp;vr=2.0&amp;DB=350&amp;FindType=Y&amp;ReferencePositionType=S&amp;SerialNum=1986131531&amp;ReferencePosition=153" TargetMode="External"/><Relationship Id="rId190" Type="http://schemas.openxmlformats.org/officeDocument/2006/relationships/hyperlink" Target="http://www.westlaw.com/Find/Default.wl?rs=dfa1.0&amp;vr=2.0&amp;FindType=Y&amp;SerialNum=2014356642" TargetMode="External"/><Relationship Id="rId204" Type="http://schemas.openxmlformats.org/officeDocument/2006/relationships/hyperlink" Target="http://www.westlaw.com/Find/Default.wl?rs=dfa1.0&amp;vr=2.0&amp;DB=1000546&amp;DocName=7USCAS1301&amp;FindType=L&amp;ReferencePositionType=T&amp;ReferencePosition=SP_6c1d000097934" TargetMode="External"/><Relationship Id="rId225" Type="http://schemas.openxmlformats.org/officeDocument/2006/relationships/hyperlink" Target="http://www.westlaw.com/Find/Default.wl?rs=dfa1.0&amp;vr=2.0&amp;DB=164&amp;FindType=Y&amp;ReferencePositionType=S&amp;SerialNum=1995126431&amp;ReferencePosition=559" TargetMode="External"/><Relationship Id="rId246" Type="http://schemas.openxmlformats.org/officeDocument/2006/relationships/hyperlink" Target="http://www.westlaw.com/Find/Default.wl?rs=dfa1.0&amp;vr=2.0&amp;FindType=Y&amp;SerialNum=1987059294" TargetMode="External"/><Relationship Id="rId267" Type="http://schemas.openxmlformats.org/officeDocument/2006/relationships/hyperlink" Target="http://www.westlaw.com/Find/Default.wl?rs=dfa1.0&amp;vr=2.0&amp;DB=708&amp;FindType=Y&amp;SerialNum=1998075896" TargetMode="External"/><Relationship Id="rId288" Type="http://schemas.openxmlformats.org/officeDocument/2006/relationships/hyperlink" Target="http://www.westlaw.com/Find/Default.wl?rs=dfa1.0&amp;vr=2.0&amp;DB=506&amp;FindType=Y&amp;ReferencePositionType=S&amp;SerialNum=2017444304&amp;ReferencePosition=1278" TargetMode="External"/><Relationship Id="rId411" Type="http://schemas.openxmlformats.org/officeDocument/2006/relationships/hyperlink" Target="http://www.westlaw.com/Find/Default.wl?rs=dfa1.0&amp;vr=2.0&amp;DB=1000546&amp;DocName=11USCAS362&amp;FindType=L" TargetMode="External"/><Relationship Id="rId432" Type="http://schemas.openxmlformats.org/officeDocument/2006/relationships/hyperlink" Target="http://www.westlaw.com/KeyCite/Default.wl?rs=dfa1.0&amp;vr=2.0&amp;CMD=KC&amp;SerialNum=2012282366&amp;HistoryType=N" TargetMode="External"/><Relationship Id="rId453" Type="http://schemas.openxmlformats.org/officeDocument/2006/relationships/hyperlink" Target="http://www.westlaw.com/Find/Default.wl?rs=dfa1.0&amp;vr=2.0&amp;FindType=2&amp;SerialNum=2021282518&amp;CaseCite=---+S.Ct.+----&amp;CaseSerial=2022242875" TargetMode="External"/><Relationship Id="rId474" Type="http://schemas.openxmlformats.org/officeDocument/2006/relationships/footer" Target="footer10.xml"/><Relationship Id="rId509" Type="http://schemas.openxmlformats.org/officeDocument/2006/relationships/hyperlink" Target="http://www.westlaw.com/Find/Default.wl?rs=dfa1.0&amp;vr=2.0&amp;FindType=1&amp;SerialNum=0353786775&amp;CaseCite=+SCt+&amp;CaseSerial=2022242875" TargetMode="External"/><Relationship Id="rId106" Type="http://schemas.openxmlformats.org/officeDocument/2006/relationships/hyperlink" Target="http://www.westlaw.com/Find/Default.wl?rs=dfa1.0&amp;vr=2.0&amp;DB=708&amp;FindType=Y&amp;SerialNum=1906101604" TargetMode="External"/><Relationship Id="rId127" Type="http://schemas.openxmlformats.org/officeDocument/2006/relationships/hyperlink" Target="http://www.westlaw.com/Find/Default.wl?rs=dfa1.0&amp;vr=2.0&amp;DB=PROFILER-WLD&amp;DocName=0153052401&amp;FindType=h" TargetMode="External"/><Relationship Id="rId313" Type="http://schemas.openxmlformats.org/officeDocument/2006/relationships/hyperlink" Target="http://www.westlaw.com/Find/Default.wl?rs=dfa1.0&amp;vr=2.0&amp;DB=1000546&amp;DocName=11USCAS1325&amp;FindType=L&amp;ReferencePositionType=T&amp;ReferencePosition=SP_1496000051ed7" TargetMode="External"/><Relationship Id="rId495" Type="http://schemas.openxmlformats.org/officeDocument/2006/relationships/hyperlink" Target="http://www.westlaw.com/KeyCite/Default.wl?rs=dfa1.0&amp;vr=2.0&amp;CMD=KC&amp;SerialNum=2022502411&amp;HistoryType=F" TargetMode="External"/><Relationship Id="rId10" Type="http://schemas.openxmlformats.org/officeDocument/2006/relationships/footer" Target="footer2.xml"/><Relationship Id="rId31" Type="http://schemas.openxmlformats.org/officeDocument/2006/relationships/hyperlink" Target="http://www.westlaw.com/KeyNumber/Default.wl?rs=dfa1.0&amp;vr=2.0&amp;CMD=KEY&amp;DocName=51" TargetMode="External"/><Relationship Id="rId52" Type="http://schemas.openxmlformats.org/officeDocument/2006/relationships/hyperlink" Target="http://www.westlaw.com/Find/Default.wl?rs=dfa1.0&amp;vr=2.0&amp;DB=1000546&amp;DocName=11USCAS1325&amp;FindType=L&amp;ReferencePositionType=T&amp;ReferencePosition=SP_226a0000d5fe7" TargetMode="External"/><Relationship Id="rId73" Type="http://schemas.openxmlformats.org/officeDocument/2006/relationships/hyperlink" Target="http://www.westlaw.com/KeyNumber/Default.wl?rs=dfa1.0&amp;vr=2.0&amp;CMD=KEY&amp;DocName=51I" TargetMode="External"/><Relationship Id="rId94" Type="http://schemas.openxmlformats.org/officeDocument/2006/relationships/hyperlink" Target="http://www.westlaw.com/KeyNumber/Default.wl?rs=dfa1.0&amp;vr=2.0&amp;CMD=KEY&amp;DocName=51XVIII" TargetMode="External"/><Relationship Id="rId148" Type="http://schemas.openxmlformats.org/officeDocument/2006/relationships/hyperlink" Target="http://www.westlaw.com/Find/Default.wl?rs=dfa1.0&amp;vr=2.0&amp;DB=PROFILER-WLD&amp;DocName=0370596301&amp;FindType=h" TargetMode="External"/><Relationship Id="rId169" Type="http://schemas.openxmlformats.org/officeDocument/2006/relationships/hyperlink" Target="http://www.westlaw.com/Find/Default.wl?rs=dfa1.0&amp;vr=2.0&amp;DB=1000546&amp;DocName=11USCAS1325&amp;FindType=L&amp;ReferencePositionType=T&amp;ReferencePosition=SP_c0ae00006c482" TargetMode="External"/><Relationship Id="rId334" Type="http://schemas.openxmlformats.org/officeDocument/2006/relationships/hyperlink" Target="http://www.westlaw.com/Find/Default.wl?rs=dfa1.0&amp;vr=2.0&amp;DB=1000546&amp;DocName=11USCAS1325&amp;FindType=L&amp;ReferencePositionType=T&amp;ReferencePosition=SP_2a4b0000e5562" TargetMode="External"/><Relationship Id="rId355" Type="http://schemas.openxmlformats.org/officeDocument/2006/relationships/hyperlink" Target="http://www.westlaw.com/Find/Default.wl?rs=dfa1.0&amp;vr=2.0&amp;DB=1000546&amp;DocName=7USCAS1301&amp;FindType=L&amp;ReferencePositionType=T&amp;ReferencePosition=SP_ff1d0000f5020" TargetMode="External"/><Relationship Id="rId376" Type="http://schemas.openxmlformats.org/officeDocument/2006/relationships/hyperlink" Target="http://www.westlaw.com/Find/Default.wl?rs=dfa1.0&amp;vr=2.0&amp;FindType=Y&amp;SerialNum=2022098240" TargetMode="External"/><Relationship Id="rId397" Type="http://schemas.openxmlformats.org/officeDocument/2006/relationships/hyperlink" Target="http://www.westlaw.com/Find/Default.wl?rs=dfa1.0&amp;vr=2.0&amp;DB=1000546&amp;DocName=11USCAS101&amp;FindType=L&amp;ReferencePositionType=T&amp;ReferencePosition=SP_9ea10000d2c36" TargetMode="External"/><Relationship Id="rId4" Type="http://schemas.openxmlformats.org/officeDocument/2006/relationships/webSettings" Target="webSettings.xml"/><Relationship Id="rId180" Type="http://schemas.openxmlformats.org/officeDocument/2006/relationships/hyperlink" Target="http://www.westlaw.com/Find/Default.wl?rs=dfa1.0&amp;vr=2.0&amp;DB=1000546&amp;DocName=11USCAS1325&amp;FindType=L&amp;ReferencePositionType=T&amp;ReferencePosition=SP_2a4b0000e5562" TargetMode="External"/><Relationship Id="rId215" Type="http://schemas.openxmlformats.org/officeDocument/2006/relationships/hyperlink" Target="http://www.westlaw.com/Find/Default.wl?rs=dfa1.0&amp;vr=2.0&amp;DB=1000546&amp;DocName=2USCAS58&amp;FindType=L&amp;ReferencePositionType=T&amp;ReferencePosition=SP_2a4b0000e5562" TargetMode="External"/><Relationship Id="rId236" Type="http://schemas.openxmlformats.org/officeDocument/2006/relationships/hyperlink" Target="http://www.westlaw.com/Find/Default.wl?rs=dfa1.0&amp;vr=2.0&amp;DB=164&amp;FindType=Y&amp;ReferencePositionType=S&amp;SerialNum=1985153987&amp;ReferencePosition=378" TargetMode="External"/><Relationship Id="rId257" Type="http://schemas.openxmlformats.org/officeDocument/2006/relationships/hyperlink" Target="http://www.westlaw.com/Find/Default.wl?rs=dfa1.0&amp;vr=2.0&amp;FindType=Y&amp;SerialNum=1990065945" TargetMode="External"/><Relationship Id="rId278" Type="http://schemas.openxmlformats.org/officeDocument/2006/relationships/hyperlink" Target="http://www.westlaw.com/Find/Default.wl?rs=dfa1.0&amp;vr=2.0&amp;DB=708&amp;FindType=Y&amp;SerialNum=1998061310" TargetMode="External"/><Relationship Id="rId401" Type="http://schemas.openxmlformats.org/officeDocument/2006/relationships/hyperlink" Target="http://www.westlaw.com/Find/Default.wl?rs=dfa1.0&amp;vr=2.0&amp;DB=1000546&amp;DocName=11USCAS521&amp;FindType=L&amp;ReferencePositionType=T&amp;ReferencePosition=SP_50660000823d1" TargetMode="External"/><Relationship Id="rId422" Type="http://schemas.openxmlformats.org/officeDocument/2006/relationships/header" Target="header3.xml"/><Relationship Id="rId443" Type="http://schemas.openxmlformats.org/officeDocument/2006/relationships/hyperlink" Target="http://www.westlaw.com/KeyCite/Default.wl?rs=dfa1.0&amp;vr=2.0&amp;CMD=KC&amp;SerialNum=2019113322&amp;HistoryType=F" TargetMode="External"/><Relationship Id="rId464" Type="http://schemas.openxmlformats.org/officeDocument/2006/relationships/hyperlink" Target="http://www.westlaw.com/Find/Default.wl?rs=dfa1.0&amp;vr=2.0&amp;DB=177239&amp;DocName=LINK-GUID%28I7417E968F40911DDB7E683BA170699A5%29&amp;FindType=l" TargetMode="External"/><Relationship Id="rId303" Type="http://schemas.openxmlformats.org/officeDocument/2006/relationships/hyperlink" Target="http://www.westlaw.com/Find/Default.wl?rs=dfa1.0&amp;vr=2.0&amp;DB=164&amp;FindType=Y&amp;ReferencePositionType=S&amp;SerialNum=2015431162&amp;ReferencePosition=314" TargetMode="External"/><Relationship Id="rId485" Type="http://schemas.openxmlformats.org/officeDocument/2006/relationships/image" Target="media/image7.png"/><Relationship Id="rId42" Type="http://schemas.openxmlformats.org/officeDocument/2006/relationships/hyperlink" Target="http://www.westlaw.com/KeyNumber/Default.wl?rs=dfa1.0&amp;vr=2.0&amp;CMD=KEY&amp;DocName=51k2021.1" TargetMode="External"/><Relationship Id="rId84" Type="http://schemas.openxmlformats.org/officeDocument/2006/relationships/hyperlink" Target="http://www.westlaw.com/Digest/Default.wl?rs=dfa1.0&amp;vr=2.0&amp;CMD=MCC&amp;DocName=51k3715%2810%29" TargetMode="External"/><Relationship Id="rId138" Type="http://schemas.openxmlformats.org/officeDocument/2006/relationships/hyperlink" Target="http://www.westlaw.com/Find/Default.wl?rs=dfa1.0&amp;vr=2.0&amp;DB=PROFILER-WLD&amp;DocName=0181822701&amp;FindType=h" TargetMode="External"/><Relationship Id="rId345" Type="http://schemas.openxmlformats.org/officeDocument/2006/relationships/hyperlink" Target="http://www.westlaw.com/Find/Default.wl?rs=dfa1.0&amp;vr=2.0&amp;DB=1000546&amp;DocName=11USCAS1325&amp;FindType=L&amp;ReferencePositionType=T&amp;ReferencePosition=SP_c0ae00006c482" TargetMode="External"/><Relationship Id="rId387" Type="http://schemas.openxmlformats.org/officeDocument/2006/relationships/hyperlink" Target="http://www.westlaw.com/Find/Default.wl?rs=dfa1.0&amp;vr=2.0&amp;DB=350&amp;FindType=Y&amp;ReferencePositionType=S&amp;SerialNum=1986131531&amp;ReferencePosition=153" TargetMode="External"/><Relationship Id="rId510" Type="http://schemas.openxmlformats.org/officeDocument/2006/relationships/hyperlink" Target="http://www.westlaw.com/Find/Default.wl?rs=dfa1.0&amp;vr=2.0&amp;FindType=1&amp;SerialNum=2022472533&amp;CaseCite=+SCt+&amp;CaseSerial=2022242875" TargetMode="External"/><Relationship Id="rId191" Type="http://schemas.openxmlformats.org/officeDocument/2006/relationships/hyperlink" Target="http://www.westlaw.com/Find/Default.wl?rs=dfa1.0&amp;vr=2.0&amp;DB=506&amp;FindType=Y&amp;ReferencePositionType=S&amp;SerialNum=2017444304&amp;ReferencePosition=1270" TargetMode="External"/><Relationship Id="rId205" Type="http://schemas.openxmlformats.org/officeDocument/2006/relationships/hyperlink" Target="http://www.westlaw.com/Find/Default.wl?rs=dfa1.0&amp;vr=2.0&amp;DB=1000546&amp;DocName=8USCAS1364&amp;FindType=L&amp;ReferencePositionType=T&amp;ReferencePosition=SP_8b3b0000958a4" TargetMode="External"/><Relationship Id="rId247" Type="http://schemas.openxmlformats.org/officeDocument/2006/relationships/hyperlink" Target="http://www.westlaw.com/Find/Default.wl?rs=dfa1.0&amp;vr=2.0&amp;FindType=Y&amp;SerialNum=1987059294" TargetMode="External"/><Relationship Id="rId412" Type="http://schemas.openxmlformats.org/officeDocument/2006/relationships/hyperlink" Target="http://www.westlaw.com/Find/Default.wl?rs=dfa1.0&amp;vr=2.0&amp;DB=1000546&amp;DocName=11USCAS109&amp;FindType=L&amp;ReferencePositionType=T&amp;ReferencePosition=SP_7952000083371" TargetMode="External"/><Relationship Id="rId107" Type="http://schemas.openxmlformats.org/officeDocument/2006/relationships/hyperlink" Target="http://www.westlaw.com/Find/Default.wl?rs=dfa1.0&amp;vr=2.0&amp;DB=1000546&amp;DocName=11USCAS1325&amp;FindType=L&amp;ReferencePositionType=T&amp;ReferencePosition=SP_3fed000053a85" TargetMode="External"/><Relationship Id="rId289" Type="http://schemas.openxmlformats.org/officeDocument/2006/relationships/hyperlink" Target="http://www.westlaw.com/Find/Default.wl?rs=dfa1.0&amp;vr=2.0&amp;DB=1000546&amp;DocName=11USCAS707&amp;FindType=L&amp;ReferencePositionType=T&amp;ReferencePosition=SP_226a0000d5fe7" TargetMode="External"/><Relationship Id="rId454" Type="http://schemas.openxmlformats.org/officeDocument/2006/relationships/hyperlink" Target="http://www.westlaw.com/Find/Default.wl?rs=dfa1.0&amp;vr=2.0&amp;FindType=2&amp;SerialNum=2021479721&amp;CaseCite=---+S.Ct.+----&amp;CaseSerial=2022242875" TargetMode="External"/><Relationship Id="rId496" Type="http://schemas.openxmlformats.org/officeDocument/2006/relationships/hyperlink" Target="http://www.westlaw.com/Find/Default.wl?rs=dfa1.0&amp;vr=2.0&amp;FindType=1&amp;SerialNum=2022502411&amp;CaseCite=+SCt+&amp;CaseSerial=2022242875" TargetMode="External"/><Relationship Id="rId11" Type="http://schemas.openxmlformats.org/officeDocument/2006/relationships/image" Target="media/image2.png"/><Relationship Id="rId53" Type="http://schemas.openxmlformats.org/officeDocument/2006/relationships/hyperlink" Target="http://www.westlaw.com/Find/Default.wl?rs=dfa1.0&amp;vr=2.0&amp;DB=1000546&amp;DocName=11USCAS1325&amp;FindType=L&amp;ReferencePositionType=T&amp;ReferencePosition=SP_609d000059b95" TargetMode="External"/><Relationship Id="rId149" Type="http://schemas.openxmlformats.org/officeDocument/2006/relationships/hyperlink" Target="http://www.westlaw.com/Find/Default.wl?rs=dfa1.0&amp;vr=2.0&amp;DB=PROFILER-WLD&amp;DocName=0420577301&amp;FindType=h" TargetMode="External"/><Relationship Id="rId314" Type="http://schemas.openxmlformats.org/officeDocument/2006/relationships/hyperlink" Target="http://www.westlaw.com/Find/Default.wl?rs=dfa1.0&amp;vr=2.0&amp;DB=1000546&amp;DocName=11USCAS1325&amp;FindType=L&amp;ReferencePositionType=T&amp;ReferencePosition=SP_36f10000408d4" TargetMode="External"/><Relationship Id="rId356" Type="http://schemas.openxmlformats.org/officeDocument/2006/relationships/hyperlink" Target="http://www.westlaw.com/Find/Default.wl?rs=dfa1.0&amp;vr=2.0&amp;DB=1000546&amp;DocName=11USCAS1325&amp;FindType=L&amp;ReferencePositionType=T&amp;ReferencePosition=SP_d801000002763" TargetMode="External"/><Relationship Id="rId398" Type="http://schemas.openxmlformats.org/officeDocument/2006/relationships/hyperlink" Target="http://www.westlaw.com/Find/Default.wl?rs=dfa1.0&amp;vr=2.0&amp;DB=1000546&amp;DocName=11USCAS521&amp;FindType=L&amp;ReferencePositionType=T&amp;ReferencePosition=SP_7af40000b0da6" TargetMode="External"/><Relationship Id="rId95" Type="http://schemas.openxmlformats.org/officeDocument/2006/relationships/hyperlink" Target="http://www.westlaw.com/KeyNumber/Default.wl?rs=dfa1.0&amp;vr=2.0&amp;CMD=KEY&amp;DocName=51k3704" TargetMode="External"/><Relationship Id="rId160" Type="http://schemas.openxmlformats.org/officeDocument/2006/relationships/hyperlink" Target="http://www.westlaw.com/Find/Default.wl?rs=dfa1.0&amp;vr=2.0&amp;DB=1000546&amp;DocName=11USCAS1325&amp;FindType=L&amp;ReferencePositionType=T&amp;ReferencePosition=SP_3fed000053a85" TargetMode="External"/><Relationship Id="rId216" Type="http://schemas.openxmlformats.org/officeDocument/2006/relationships/hyperlink" Target="http://www.westlaw.com/Find/Default.wl?rs=dfa1.0&amp;vr=2.0&amp;DB=1000546&amp;DocName=5USCAS8415&amp;FindType=L&amp;ReferencePositionType=T&amp;ReferencePosition=SP_8b3b0000958a4" TargetMode="External"/><Relationship Id="rId423" Type="http://schemas.openxmlformats.org/officeDocument/2006/relationships/footer" Target="footer3.xml"/><Relationship Id="rId258" Type="http://schemas.openxmlformats.org/officeDocument/2006/relationships/hyperlink" Target="http://www.westlaw.com/Find/Default.wl?rs=dfa1.0&amp;vr=2.0&amp;FindType=Y&amp;SerialNum=1990065945" TargetMode="External"/><Relationship Id="rId465" Type="http://schemas.openxmlformats.org/officeDocument/2006/relationships/hyperlink" Target="http://www.westlaw.com/Find/Default.wl?rs=dfa1.0&amp;vr=2.0&amp;DB=177225&amp;DocName=LINK-GUID%28IE67AD4D0C30311DC8DBA9DEB08599717%29&amp;FindType=l" TargetMode="External"/><Relationship Id="rId22" Type="http://schemas.openxmlformats.org/officeDocument/2006/relationships/hyperlink" Target="http://www.westlaw.com/KeyNumber/Default.wl?rs=dfa1.0&amp;vr=2.0&amp;CMD=KEY&amp;DocName=51k3705" TargetMode="External"/><Relationship Id="rId64" Type="http://schemas.openxmlformats.org/officeDocument/2006/relationships/hyperlink" Target="http://www.westlaw.com/KeyNumber/Default.wl?rs=dfa1.0&amp;vr=2.0&amp;CMD=KEY&amp;DocName=361k188" TargetMode="External"/><Relationship Id="rId118" Type="http://schemas.openxmlformats.org/officeDocument/2006/relationships/hyperlink" Target="http://www.westlaw.com/Find/Default.wl?rs=dfa1.0&amp;vr=2.0&amp;DB=708&amp;FindType=Y&amp;SerialNum=2011721776" TargetMode="External"/><Relationship Id="rId325" Type="http://schemas.openxmlformats.org/officeDocument/2006/relationships/hyperlink" Target="http://www.westlaw.com/Find/Default.wl?rs=dfa1.0&amp;vr=2.0&amp;DB=1000546&amp;DocName=11USCAS707&amp;FindType=L&amp;ReferencePositionType=T&amp;ReferencePosition=SP_3fed000053a85" TargetMode="External"/><Relationship Id="rId367" Type="http://schemas.openxmlformats.org/officeDocument/2006/relationships/hyperlink" Target="http://www.westlaw.com/Find/Default.wl?rs=dfa1.0&amp;vr=2.0&amp;DB=1000546&amp;DocName=11USCAS1325&amp;FindType=L&amp;ReferencePositionType=T&amp;ReferencePosition=SP_c0ae00006c482" TargetMode="External"/><Relationship Id="rId171" Type="http://schemas.openxmlformats.org/officeDocument/2006/relationships/hyperlink" Target="http://www.westlaw.com/Find/Default.wl?rs=dfa1.0&amp;vr=2.0&amp;DB=1000546&amp;DocName=11USCAS707&amp;FindType=L&amp;ReferencePositionType=T&amp;ReferencePosition=SP_c0ae00006c482" TargetMode="External"/><Relationship Id="rId227" Type="http://schemas.openxmlformats.org/officeDocument/2006/relationships/hyperlink" Target="http://www.westlaw.com/Find/Default.wl?rs=dfa1.0&amp;vr=2.0&amp;DB=164&amp;FindType=Y&amp;ReferencePositionType=S&amp;SerialNum=2002646756&amp;ReferencePosition=799" TargetMode="External"/><Relationship Id="rId269" Type="http://schemas.openxmlformats.org/officeDocument/2006/relationships/hyperlink" Target="http://www.westlaw.com/Find/Default.wl?rs=dfa1.0&amp;vr=2.0&amp;DB=708&amp;FindType=Y&amp;SerialNum=1991022020" TargetMode="External"/><Relationship Id="rId434" Type="http://schemas.openxmlformats.org/officeDocument/2006/relationships/hyperlink" Target="http://www.westlaw.com/Find/Default.wl?rs=dfa1.0&amp;vr=2.0&amp;FindType=2&amp;SerialNum=2012282366&amp;CaseCite=---+S.Ct.+----&amp;CaseSerial=2022242875" TargetMode="External"/><Relationship Id="rId476" Type="http://schemas.openxmlformats.org/officeDocument/2006/relationships/footer" Target="footer11.xml"/><Relationship Id="rId33" Type="http://schemas.openxmlformats.org/officeDocument/2006/relationships/hyperlink" Target="http://www.westlaw.com/KeyNumber/Default.wl?rs=dfa1.0&amp;vr=2.0&amp;CMD=KEY&amp;DocName=51I%28B%29" TargetMode="External"/><Relationship Id="rId129" Type="http://schemas.openxmlformats.org/officeDocument/2006/relationships/hyperlink" Target="http://www.westlaw.com/Find/Default.wl?rs=dfa1.0&amp;vr=2.0&amp;DB=PROFILER-WLD&amp;DocName=0156277701&amp;FindType=h" TargetMode="External"/><Relationship Id="rId280" Type="http://schemas.openxmlformats.org/officeDocument/2006/relationships/hyperlink" Target="http://www.westlaw.com/Find/Default.wl?rs=dfa1.0&amp;vr=2.0&amp;DB=1000546&amp;DocName=11USCAS1325&amp;FindType=L&amp;ReferencePositionType=T&amp;ReferencePosition=SP_3fed000053a85" TargetMode="External"/><Relationship Id="rId336" Type="http://schemas.openxmlformats.org/officeDocument/2006/relationships/hyperlink" Target="http://www.westlaw.com/Find/Default.wl?rs=dfa1.0&amp;vr=2.0&amp;DB=1000546&amp;DocName=11USCAS1325&amp;FindType=L&amp;ReferencePositionType=T&amp;ReferencePosition=SP_a83b000018c76" TargetMode="External"/><Relationship Id="rId501" Type="http://schemas.openxmlformats.org/officeDocument/2006/relationships/hyperlink" Target="http://www.westlaw.com/Find/Default.wl?rs=dfa1.0&amp;vr=2.0&amp;FindType=1&amp;SerialNum=2022371055&amp;CaseCite=+SCt+&amp;CaseSerial=2022242875" TargetMode="External"/><Relationship Id="rId75" Type="http://schemas.openxmlformats.org/officeDocument/2006/relationships/hyperlink" Target="http://www.westlaw.com/KeyNumber/Default.wl?rs=dfa1.0&amp;vr=2.0&amp;CMD=KEY&amp;DocName=51k2021" TargetMode="External"/><Relationship Id="rId140" Type="http://schemas.openxmlformats.org/officeDocument/2006/relationships/hyperlink" Target="http://www.westlaw.com/Find/Default.wl?rs=dfa1.0&amp;vr=2.0&amp;DB=PROFILER-WLD&amp;DocName=0275081701&amp;FindType=h" TargetMode="External"/><Relationship Id="rId182" Type="http://schemas.openxmlformats.org/officeDocument/2006/relationships/hyperlink" Target="http://www.westlaw.com/Find/Default.wl?rs=dfa1.0&amp;vr=2.0&amp;FindType=Y&amp;SerialNum=2012282366" TargetMode="External"/><Relationship Id="rId378" Type="http://schemas.openxmlformats.org/officeDocument/2006/relationships/hyperlink" Target="http://www.westlaw.com/Find/Default.wl?rs=dfa1.0&amp;vr=2.0&amp;FindType=Y&amp;SerialNum=2022098240" TargetMode="External"/><Relationship Id="rId403" Type="http://schemas.openxmlformats.org/officeDocument/2006/relationships/hyperlink" Target="http://www.westlaw.com/Find/Default.wl?rs=dfa1.0&amp;vr=2.0&amp;FindType=Y&amp;SerialNum=1987036775" TargetMode="External"/><Relationship Id="rId6" Type="http://schemas.openxmlformats.org/officeDocument/2006/relationships/endnotes" Target="endnotes.xml"/><Relationship Id="rId238" Type="http://schemas.openxmlformats.org/officeDocument/2006/relationships/hyperlink" Target="http://www.westlaw.com/Find/Default.wl?rs=dfa1.0&amp;vr=2.0&amp;DB=0113189&amp;DocName=3NRTNBLPs75.10&amp;FindType=Y" TargetMode="External"/><Relationship Id="rId445" Type="http://schemas.openxmlformats.org/officeDocument/2006/relationships/hyperlink" Target="http://www.westlaw.com/KeyCite/Default.wl?rs=dfa1.0&amp;vr=2.0&amp;CMD=KC&amp;SerialNum=2021396509&amp;HistoryType=F" TargetMode="External"/><Relationship Id="rId487" Type="http://schemas.openxmlformats.org/officeDocument/2006/relationships/hyperlink" Target="http://www.westlaw.com/KeyCite/Default.wl?rs=dfa1.0&amp;vr=2.0&amp;CMD=KC&amp;SerialNum=2022422113&amp;HistoryType=F" TargetMode="External"/><Relationship Id="rId291" Type="http://schemas.openxmlformats.org/officeDocument/2006/relationships/hyperlink" Target="http://www.westlaw.com/Find/Default.wl?rs=dfa1.0&amp;vr=2.0&amp;FindType=Y&amp;SerialNum=2019402498" TargetMode="External"/><Relationship Id="rId305" Type="http://schemas.openxmlformats.org/officeDocument/2006/relationships/hyperlink" Target="http://www.westlaw.com/Find/Default.wl?rs=dfa1.0&amp;vr=2.0&amp;DB=1000546&amp;DocName=11USCAS1325&amp;FindType=L" TargetMode="External"/><Relationship Id="rId347" Type="http://schemas.openxmlformats.org/officeDocument/2006/relationships/hyperlink" Target="http://www.westlaw.com/Find/Default.wl?rs=dfa1.0&amp;vr=2.0&amp;DB=1000546&amp;DocName=11USCAS1325&amp;FindType=L&amp;ReferencePositionType=T&amp;ReferencePosition=SP_a83b000018c76" TargetMode="External"/><Relationship Id="rId512" Type="http://schemas.openxmlformats.org/officeDocument/2006/relationships/fontTable" Target="fontTable.xml"/><Relationship Id="rId44" Type="http://schemas.openxmlformats.org/officeDocument/2006/relationships/hyperlink" Target="http://www.westlaw.com/Find/Default.wl?rs=dfa1.0&amp;vr=2.0&amp;DB=1000546&amp;DocName=11USCAS101&amp;FindType=L&amp;ReferencePositionType=T&amp;ReferencePosition=SP_9ea10000d2c36" TargetMode="External"/><Relationship Id="rId86" Type="http://schemas.openxmlformats.org/officeDocument/2006/relationships/hyperlink" Target="http://www.westlaw.com/KeyNumber/Default.wl?rs=dfa1.0&amp;vr=2.0&amp;CMD=KEY&amp;DocName=51" TargetMode="External"/><Relationship Id="rId151" Type="http://schemas.openxmlformats.org/officeDocument/2006/relationships/hyperlink" Target="http://www.westlaw.com/Find/Default.wl?rs=dfa1.0&amp;vr=2.0&amp;DB=PROFILER-WLD&amp;DocName=0153052401&amp;FindType=h" TargetMode="External"/><Relationship Id="rId389" Type="http://schemas.openxmlformats.org/officeDocument/2006/relationships/hyperlink" Target="http://www.westlaw.com/Find/Default.wl?rs=dfa1.0&amp;vr=2.0&amp;FindType=Y&amp;SerialNum=1986131531" TargetMode="External"/><Relationship Id="rId193" Type="http://schemas.openxmlformats.org/officeDocument/2006/relationships/hyperlink" Target="http://www.westlaw.com/Find/Default.wl?rs=dfa1.0&amp;vr=2.0&amp;FindType=Y&amp;SerialNum=2017444304" TargetMode="External"/><Relationship Id="rId207" Type="http://schemas.openxmlformats.org/officeDocument/2006/relationships/hyperlink" Target="http://www.westlaw.com/Find/Default.wl?rs=dfa1.0&amp;vr=2.0&amp;DB=1000546&amp;DocName=10USCAS2433A&amp;FindType=L&amp;ReferencePositionType=T&amp;ReferencePosition=SP_f93f00008d291" TargetMode="External"/><Relationship Id="rId249" Type="http://schemas.openxmlformats.org/officeDocument/2006/relationships/hyperlink" Target="http://www.westlaw.com/Find/Default.wl?rs=dfa1.0&amp;vr=2.0&amp;DB=506&amp;FindType=Y&amp;SerialNum=1995211614" TargetMode="External"/><Relationship Id="rId414" Type="http://schemas.openxmlformats.org/officeDocument/2006/relationships/hyperlink" Target="http://www.westlaw.com/Find/Default.wl?rs=dfa1.0&amp;vr=2.0&amp;FindType=Y&amp;SerialNum=2003077835" TargetMode="External"/><Relationship Id="rId456" Type="http://schemas.openxmlformats.org/officeDocument/2006/relationships/hyperlink" Target="http://www.westlaw.com/Find/Default.wl?rs=dfa1.0&amp;vr=2.0&amp;FindType=2&amp;SerialNum=2015776589&amp;CaseCite=---+S.Ct.+----&amp;CaseSerial=2022242875" TargetMode="External"/><Relationship Id="rId498" Type="http://schemas.openxmlformats.org/officeDocument/2006/relationships/image" Target="media/image8.png"/><Relationship Id="rId13" Type="http://schemas.openxmlformats.org/officeDocument/2006/relationships/hyperlink" Target="http://www.westlaw.com/Find/Default.wl?rs=dfa1.0&amp;vr=2.0&amp;DB=PROFILER-WLD&amp;DocName=0235771101&amp;FindType=h" TargetMode="External"/><Relationship Id="rId109" Type="http://schemas.openxmlformats.org/officeDocument/2006/relationships/hyperlink" Target="http://www.westlaw.com/Find/Default.wl?rs=dfa1.0&amp;vr=2.0&amp;DB=1000546&amp;DocName=11USCAS101&amp;FindType=L&amp;ReferencePositionType=T&amp;ReferencePosition=SP_60180000b51a0" TargetMode="External"/><Relationship Id="rId260" Type="http://schemas.openxmlformats.org/officeDocument/2006/relationships/hyperlink" Target="http://www.westlaw.com/Find/Default.wl?rs=dfa1.0&amp;vr=2.0&amp;FindType=Y&amp;SerialNum=1990065945" TargetMode="External"/><Relationship Id="rId316" Type="http://schemas.openxmlformats.org/officeDocument/2006/relationships/hyperlink" Target="http://www.westlaw.com/Find/Default.wl?rs=dfa1.0&amp;vr=2.0&amp;DB=506&amp;FindType=Y&amp;ReferencePositionType=S&amp;SerialNum=2012518723&amp;ReferencePosition=125" TargetMode="External"/><Relationship Id="rId55" Type="http://schemas.openxmlformats.org/officeDocument/2006/relationships/hyperlink" Target="http://www.westlaw.com/KeyNumber/Default.wl?rs=dfa1.0&amp;vr=2.0&amp;CMD=KEY&amp;DocName=51XVIII" TargetMode="External"/><Relationship Id="rId97" Type="http://schemas.openxmlformats.org/officeDocument/2006/relationships/hyperlink" Target="http://www.westlaw.com/Digest/Default.wl?rs=dfa1.0&amp;vr=2.0&amp;CMD=MCC&amp;DocName=51k3705" TargetMode="External"/><Relationship Id="rId120" Type="http://schemas.openxmlformats.org/officeDocument/2006/relationships/hyperlink" Target="http://www.westlaw.com/Find/Default.wl?rs=dfa1.0&amp;vr=2.0&amp;DB=1000546&amp;DocName=11USCAS1325&amp;FindType=L&amp;ReferencePositionType=T&amp;ReferencePosition=SP_2a4b0000e5562" TargetMode="External"/><Relationship Id="rId358" Type="http://schemas.openxmlformats.org/officeDocument/2006/relationships/hyperlink" Target="http://www.westlaw.com/Find/Default.wl?rs=dfa1.0&amp;vr=2.0&amp;DB=1000546&amp;DocName=11USCAS1325&amp;FindType=L&amp;ReferencePositionType=T&amp;ReferencePosition=SP_832d0000f0f07" TargetMode="External"/><Relationship Id="rId162" Type="http://schemas.openxmlformats.org/officeDocument/2006/relationships/hyperlink" Target="http://www.westlaw.com/Find/Default.wl?rs=dfa1.0&amp;vr=2.0&amp;DB=1000546&amp;DocName=11USCAS1325&amp;FindType=L&amp;ReferencePositionType=T&amp;ReferencePosition=SP_1eca000045f07" TargetMode="External"/><Relationship Id="rId218" Type="http://schemas.openxmlformats.org/officeDocument/2006/relationships/hyperlink" Target="http://www.westlaw.com/Find/Default.wl?rs=dfa1.0&amp;vr=2.0&amp;DB=350&amp;FindType=Y&amp;ReferencePositionType=S&amp;SerialNum=1990065945&amp;ReferencePosition=62" TargetMode="External"/><Relationship Id="rId425" Type="http://schemas.openxmlformats.org/officeDocument/2006/relationships/footer" Target="footer4.xml"/><Relationship Id="rId467" Type="http://schemas.openxmlformats.org/officeDocument/2006/relationships/footer" Target="footer7.xml"/><Relationship Id="rId271" Type="http://schemas.openxmlformats.org/officeDocument/2006/relationships/hyperlink" Target="http://www.westlaw.com/Find/Default.wl?rs=dfa1.0&amp;vr=2.0&amp;DB=708&amp;FindType=Y&amp;SerialNum=1986155689" TargetMode="External"/><Relationship Id="rId24" Type="http://schemas.openxmlformats.org/officeDocument/2006/relationships/hyperlink" Target="http://www.westlaw.com/KeyNumber/Default.wl?rs=dfa1.0&amp;vr=2.0&amp;CMD=KEY&amp;DocName=51" TargetMode="External"/><Relationship Id="rId66" Type="http://schemas.openxmlformats.org/officeDocument/2006/relationships/hyperlink" Target="http://www.westlaw.com/KeyNumber/Default.wl?rs=dfa1.0&amp;vr=2.0&amp;CMD=KEY&amp;DocName=361" TargetMode="External"/><Relationship Id="rId131" Type="http://schemas.openxmlformats.org/officeDocument/2006/relationships/hyperlink" Target="http://www.westlaw.com/Find/Default.wl?rs=dfa1.0&amp;vr=2.0&amp;DB=PROFILER-WLD&amp;DocName=0216654601&amp;FindType=h" TargetMode="External"/><Relationship Id="rId327" Type="http://schemas.openxmlformats.org/officeDocument/2006/relationships/hyperlink" Target="http://www.westlaw.com/Find/Default.wl?rs=dfa1.0&amp;vr=2.0&amp;DB=1000546&amp;DocName=11USCAS707&amp;FindType=L" TargetMode="External"/><Relationship Id="rId369" Type="http://schemas.openxmlformats.org/officeDocument/2006/relationships/hyperlink" Target="http://www.westlaw.com/Find/Default.wl?rs=dfa1.0&amp;vr=2.0&amp;DB=1000546&amp;DocName=11USCAS1325&amp;FindType=L&amp;ReferencePositionType=T&amp;ReferencePosition=SP_c0ae00006c482" TargetMode="External"/><Relationship Id="rId173" Type="http://schemas.openxmlformats.org/officeDocument/2006/relationships/hyperlink" Target="http://www.westlaw.com/Find/Default.wl?rs=dfa1.0&amp;vr=2.0&amp;DB=1000546&amp;DocName=11USCAS101&amp;FindType=L&amp;ReferencePositionType=T&amp;ReferencePosition=SP_9ea10000d2c36" TargetMode="External"/><Relationship Id="rId229" Type="http://schemas.openxmlformats.org/officeDocument/2006/relationships/hyperlink" Target="http://www.westlaw.com/Find/Default.wl?rs=dfa1.0&amp;vr=2.0&amp;DB=164&amp;FindType=Y&amp;ReferencePositionType=S&amp;SerialNum=2001289110&amp;ReferencePosition=514" TargetMode="External"/><Relationship Id="rId380" Type="http://schemas.openxmlformats.org/officeDocument/2006/relationships/hyperlink" Target="http://www.westlaw.com/Find/Default.wl?rs=dfa1.0&amp;vr=2.0&amp;DB=1000546&amp;DocName=11USCAS1323&amp;FindType=L" TargetMode="External"/><Relationship Id="rId436" Type="http://schemas.openxmlformats.org/officeDocument/2006/relationships/image" Target="media/image5.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22651</Words>
  <Characters>129116</Characters>
  <Application>Microsoft Office Word</Application>
  <DocSecurity>4</DocSecurity>
  <Lines>1075</Lines>
  <Paragraphs>302</Paragraphs>
  <ScaleCrop>false</ScaleCrop>
  <Company/>
  <LinksUpToDate>false</LinksUpToDate>
  <CharactersWithSpaces>151465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10.6.2.2.V2</dc:creator>
  <cp:keywords/>
  <dc:description/>
  <cp:lastModifiedBy>Kate Faenza</cp:lastModifiedBy>
  <cp:revision>2</cp:revision>
  <dcterms:created xsi:type="dcterms:W3CDTF">2010-07-19T19:02:00Z</dcterms:created>
  <dcterms:modified xsi:type="dcterms:W3CDTF">2010-07-19T19:02:00Z</dcterms:modified>
</cp:coreProperties>
</file>